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5F" w:rsidRPr="005D4E6D" w:rsidRDefault="0023135F" w:rsidP="005F7825">
      <w:pPr>
        <w:spacing w:after="0" w:line="240" w:lineRule="auto"/>
        <w:jc w:val="both"/>
      </w:pPr>
    </w:p>
    <w:p w:rsidR="0023135F" w:rsidRPr="005D4E6D" w:rsidRDefault="00621B40" w:rsidP="005F7825">
      <w:pPr>
        <w:spacing w:after="0" w:line="240" w:lineRule="auto"/>
        <w:jc w:val="right"/>
      </w:pPr>
      <w:r w:rsidRPr="005D4E6D">
        <w:t xml:space="preserve">Dnia </w:t>
      </w:r>
      <w:r w:rsidR="002765F8">
        <w:t>04</w:t>
      </w:r>
      <w:r w:rsidRPr="005D4E6D">
        <w:t>.0</w:t>
      </w:r>
      <w:r w:rsidR="005E0799" w:rsidRPr="005D4E6D">
        <w:t>7</w:t>
      </w:r>
      <w:r w:rsidRPr="005D4E6D">
        <w:t>.2018 r.</w:t>
      </w:r>
    </w:p>
    <w:p w:rsidR="0023135F" w:rsidRPr="005D4E6D" w:rsidRDefault="0023135F" w:rsidP="005F7825">
      <w:pPr>
        <w:spacing w:after="0" w:line="240" w:lineRule="auto"/>
        <w:jc w:val="both"/>
        <w:rPr>
          <w:b/>
          <w:bCs/>
        </w:rPr>
      </w:pPr>
    </w:p>
    <w:p w:rsidR="0023135F" w:rsidRPr="005D4E6D" w:rsidRDefault="0023135F" w:rsidP="005F7825">
      <w:pPr>
        <w:spacing w:after="0" w:line="240" w:lineRule="auto"/>
        <w:jc w:val="both"/>
        <w:rPr>
          <w:b/>
          <w:bCs/>
        </w:rPr>
      </w:pPr>
    </w:p>
    <w:p w:rsidR="00AA5CFD" w:rsidRPr="005D4E6D" w:rsidRDefault="00AA5CFD" w:rsidP="00AA5CFD">
      <w:pPr>
        <w:spacing w:after="0" w:line="240" w:lineRule="auto"/>
        <w:jc w:val="center"/>
        <w:rPr>
          <w:rStyle w:val="Hyperlink1"/>
        </w:rPr>
      </w:pPr>
      <w:r w:rsidRPr="005D4E6D">
        <w:rPr>
          <w:rStyle w:val="Hyperlink1"/>
        </w:rPr>
        <w:t xml:space="preserve">Szacowanie wartości zamówienia nr </w:t>
      </w:r>
      <w:r w:rsidR="002765F8">
        <w:rPr>
          <w:rStyle w:val="Hyperlink1"/>
        </w:rPr>
        <w:t>01/07/2018/Z004/BP/SZ</w:t>
      </w:r>
    </w:p>
    <w:p w:rsidR="00AA5CFD" w:rsidRPr="005D4E6D" w:rsidRDefault="00AA5CFD" w:rsidP="00AA5CFD">
      <w:pPr>
        <w:spacing w:after="0" w:line="240" w:lineRule="auto"/>
        <w:jc w:val="both"/>
        <w:rPr>
          <w:rStyle w:val="Hyperlink1"/>
        </w:rPr>
      </w:pPr>
    </w:p>
    <w:p w:rsidR="00AA5CFD" w:rsidRPr="005D4E6D" w:rsidRDefault="00AA5CFD" w:rsidP="00AA5CFD">
      <w:pPr>
        <w:spacing w:after="0" w:line="240" w:lineRule="auto"/>
        <w:jc w:val="both"/>
        <w:rPr>
          <w:rStyle w:val="Hyperlink1"/>
        </w:rPr>
      </w:pPr>
    </w:p>
    <w:p w:rsidR="00AA5CFD" w:rsidRPr="005D4E6D" w:rsidRDefault="00AA5CFD" w:rsidP="00AA5CFD">
      <w:pPr>
        <w:spacing w:after="0" w:line="240" w:lineRule="auto"/>
        <w:jc w:val="both"/>
        <w:rPr>
          <w:rStyle w:val="Hyperlink1"/>
          <w:b w:val="0"/>
        </w:rPr>
      </w:pPr>
      <w:r w:rsidRPr="005D4E6D">
        <w:rPr>
          <w:rStyle w:val="Hyperlink1"/>
          <w:b w:val="0"/>
        </w:rPr>
        <w:t xml:space="preserve">Zamawiający w związku z zamiarem ogłoszenia procedury zasady konkurencyjności przeprowadza procedurę szacowania zamówienia zgodnie z Wytycznymi w zakresie kwalifikowalności wydatków w ramach Europejskiego Funduszu Rozwoju Regionalnego, Europejskiego Funduszu Społecznego oraz Funduszu Spójności na lata 2014 – 2020. </w:t>
      </w:r>
    </w:p>
    <w:p w:rsidR="00AA5CFD" w:rsidRPr="005D4E6D" w:rsidRDefault="00AA5CFD" w:rsidP="00AA5CFD">
      <w:pPr>
        <w:spacing w:after="0" w:line="240" w:lineRule="auto"/>
        <w:jc w:val="both"/>
        <w:rPr>
          <w:rStyle w:val="Hyperlink1"/>
          <w:b w:val="0"/>
        </w:rPr>
      </w:pPr>
      <w:r w:rsidRPr="005D4E6D">
        <w:rPr>
          <w:rStyle w:val="Hyperlink1"/>
          <w:b w:val="0"/>
        </w:rPr>
        <w:t xml:space="preserve">W związku z powyższym, Zamawiający zwraca się z prośbą o oszacowanie wartości zamówienia opisanego w pkt 2 poniżej. </w:t>
      </w:r>
    </w:p>
    <w:p w:rsidR="0023135F" w:rsidRPr="005D4E6D" w:rsidRDefault="00AA5CFD" w:rsidP="00AA5CFD">
      <w:pPr>
        <w:spacing w:after="0" w:line="240" w:lineRule="auto"/>
        <w:jc w:val="both"/>
        <w:rPr>
          <w:b/>
          <w:bCs/>
        </w:rPr>
      </w:pPr>
      <w:r w:rsidRPr="005D4E6D">
        <w:rPr>
          <w:rStyle w:val="Hyperlink1"/>
          <w:b w:val="0"/>
        </w:rPr>
        <w:t>Niniejsza prośba nie stanowi procedury zasady konkurencyjności, a odpowiedź uzyskana przez Zamawiającego w procedurze szacowania nie będzie przez Zamawiającego traktowana jako oferta.</w:t>
      </w:r>
    </w:p>
    <w:p w:rsidR="0023135F" w:rsidRPr="005D4E6D" w:rsidRDefault="0023135F" w:rsidP="005F7825">
      <w:pPr>
        <w:spacing w:after="0" w:line="240" w:lineRule="auto"/>
        <w:jc w:val="both"/>
        <w:rPr>
          <w:b/>
          <w:bCs/>
        </w:rPr>
      </w:pPr>
    </w:p>
    <w:p w:rsidR="0023135F" w:rsidRPr="005D4E6D" w:rsidRDefault="00621B40" w:rsidP="005F7825">
      <w:pPr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>Zamawiający</w:t>
      </w:r>
    </w:p>
    <w:p w:rsidR="0023135F" w:rsidRPr="005D4E6D" w:rsidRDefault="0023135F" w:rsidP="005F7825">
      <w:pPr>
        <w:spacing w:after="0" w:line="240" w:lineRule="auto"/>
        <w:ind w:left="567"/>
        <w:jc w:val="both"/>
        <w:rPr>
          <w:b/>
          <w:bCs/>
        </w:rPr>
      </w:pPr>
    </w:p>
    <w:p w:rsidR="0023135F" w:rsidRPr="005D4E6D" w:rsidRDefault="00621B40" w:rsidP="005F7825">
      <w:pPr>
        <w:spacing w:after="0" w:line="240" w:lineRule="auto"/>
        <w:ind w:left="567"/>
        <w:jc w:val="both"/>
      </w:pPr>
      <w:r w:rsidRPr="005D4E6D">
        <w:rPr>
          <w:rStyle w:val="Hyperlink1"/>
        </w:rPr>
        <w:t xml:space="preserve">Wyższa Szkoła Bankowa we Wrocławiu, </w:t>
      </w:r>
      <w:r w:rsidRPr="005D4E6D">
        <w:t xml:space="preserve">ul. Fabryczna 29-31; 53-609 Wrocław, wpisana do Rejestru Uczelni Niepublicznych i Związków Uczelni Niepublicznych pod numerem 146, </w:t>
      </w:r>
    </w:p>
    <w:p w:rsidR="00026427" w:rsidRPr="005D4E6D" w:rsidRDefault="00026427" w:rsidP="005F7825">
      <w:pPr>
        <w:spacing w:after="0" w:line="240" w:lineRule="auto"/>
        <w:ind w:left="567"/>
        <w:jc w:val="both"/>
      </w:pPr>
    </w:p>
    <w:p w:rsidR="0023135F" w:rsidRPr="005D4E6D" w:rsidRDefault="00621B40" w:rsidP="005F7825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>Opis przedmiotu zamówienia</w:t>
      </w:r>
    </w:p>
    <w:p w:rsidR="0023135F" w:rsidRPr="005D4E6D" w:rsidRDefault="0023135F" w:rsidP="005F7825">
      <w:pPr>
        <w:pStyle w:val="Akapitzlist"/>
        <w:spacing w:after="0" w:line="240" w:lineRule="auto"/>
        <w:jc w:val="both"/>
        <w:rPr>
          <w:b/>
          <w:bCs/>
        </w:rPr>
      </w:pPr>
    </w:p>
    <w:p w:rsidR="0023135F" w:rsidRPr="005D4E6D" w:rsidRDefault="00621B40" w:rsidP="005F7825">
      <w:pPr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 xml:space="preserve">Cel zamówienia </w:t>
      </w:r>
    </w:p>
    <w:p w:rsidR="0023135F" w:rsidRPr="005D4E6D" w:rsidRDefault="0023135F" w:rsidP="005F7825">
      <w:pPr>
        <w:spacing w:after="0"/>
        <w:ind w:left="567"/>
        <w:jc w:val="both"/>
      </w:pPr>
    </w:p>
    <w:p w:rsidR="00015314" w:rsidRDefault="00F418B9" w:rsidP="00015314">
      <w:pPr>
        <w:pStyle w:val="Akapitzlist"/>
        <w:spacing w:after="0" w:line="240" w:lineRule="auto"/>
        <w:ind w:left="567"/>
        <w:jc w:val="both"/>
        <w:rPr>
          <w:bCs/>
        </w:rPr>
      </w:pPr>
      <w:r w:rsidRPr="005D4E6D">
        <w:t xml:space="preserve">Celem </w:t>
      </w:r>
      <w:r w:rsidR="00015314">
        <w:rPr>
          <w:bCs/>
        </w:rPr>
        <w:t>Przedmiotem zamówienia jest wyłonienie Wykonawcy na dostawę</w:t>
      </w:r>
      <w:r w:rsidR="00D81321">
        <w:rPr>
          <w:bCs/>
        </w:rPr>
        <w:t>, wdrożenie, konfigurację i wsparcie techniczne</w:t>
      </w:r>
      <w:r w:rsidR="00015314">
        <w:rPr>
          <w:bCs/>
        </w:rPr>
        <w:t xml:space="preserve"> oprogramowania </w:t>
      </w:r>
      <w:proofErr w:type="spellStart"/>
      <w:r w:rsidR="00015314">
        <w:rPr>
          <w:bCs/>
        </w:rPr>
        <w:t>Sophos</w:t>
      </w:r>
      <w:proofErr w:type="spellEnd"/>
      <w:r w:rsidR="00015314">
        <w:rPr>
          <w:bCs/>
        </w:rPr>
        <w:t xml:space="preserve"> XG </w:t>
      </w:r>
      <w:proofErr w:type="spellStart"/>
      <w:r w:rsidR="00015314">
        <w:rPr>
          <w:bCs/>
        </w:rPr>
        <w:t>FullGuard</w:t>
      </w:r>
      <w:proofErr w:type="spellEnd"/>
      <w:r w:rsidR="00D81321">
        <w:rPr>
          <w:bCs/>
        </w:rPr>
        <w:t xml:space="preserve"> Plus lub programu równoważnego</w:t>
      </w:r>
    </w:p>
    <w:p w:rsidR="00F418B9" w:rsidRPr="005D4E6D" w:rsidRDefault="00F418B9" w:rsidP="00015314">
      <w:pPr>
        <w:spacing w:after="0"/>
        <w:jc w:val="both"/>
      </w:pPr>
    </w:p>
    <w:p w:rsidR="0023135F" w:rsidRPr="005D4E6D" w:rsidRDefault="00621B40" w:rsidP="005F7825">
      <w:pPr>
        <w:spacing w:after="0"/>
        <w:ind w:left="567"/>
        <w:jc w:val="both"/>
        <w:rPr>
          <w:rStyle w:val="Hyperlink1"/>
        </w:rPr>
      </w:pPr>
      <w:r w:rsidRPr="005D4E6D">
        <w:t xml:space="preserve">Zamówienie będzie realizowane w ramach projektu współfinansowanego Europejskiego Funduszu Społecznego: </w:t>
      </w:r>
      <w:r w:rsidRPr="005D4E6D">
        <w:rPr>
          <w:rStyle w:val="Hyperlink1"/>
        </w:rPr>
        <w:t>INFORMATYZACJA, UMIĘDZYNARODOWIENIE, PRAKTYCZNOŚĆ - filary Zintegrowanego Programu Uczelni w Wyższej Szkole Bankowej we Wrocławiu, POWR.03.05.00-00-Z004/17.</w:t>
      </w:r>
    </w:p>
    <w:p w:rsidR="0023135F" w:rsidRPr="005D4E6D" w:rsidRDefault="0023135F" w:rsidP="005F7825">
      <w:pPr>
        <w:spacing w:after="0" w:line="240" w:lineRule="auto"/>
        <w:jc w:val="both"/>
        <w:rPr>
          <w:shd w:val="clear" w:color="auto" w:fill="FFFF00"/>
        </w:rPr>
      </w:pPr>
    </w:p>
    <w:p w:rsidR="0023135F" w:rsidRPr="005D4E6D" w:rsidRDefault="00621B40" w:rsidP="005F7825">
      <w:pPr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 xml:space="preserve">Przedmiot zamówienia  </w:t>
      </w:r>
    </w:p>
    <w:p w:rsidR="0023135F" w:rsidRPr="005D4E6D" w:rsidRDefault="0023135F" w:rsidP="005F7825">
      <w:pPr>
        <w:spacing w:after="0"/>
        <w:ind w:left="567"/>
        <w:jc w:val="both"/>
      </w:pPr>
    </w:p>
    <w:p w:rsidR="00015314" w:rsidRDefault="00015314" w:rsidP="00015314">
      <w:pPr>
        <w:pStyle w:val="Standard"/>
        <w:ind w:left="567"/>
        <w:jc w:val="both"/>
      </w:pPr>
      <w:r>
        <w:t xml:space="preserve">Przedmiotem zamówienia jest oprogramowanie  </w:t>
      </w:r>
      <w:proofErr w:type="spellStart"/>
      <w:r>
        <w:rPr>
          <w:rFonts w:ascii="Verdana" w:hAnsi="Verdana" w:cs="Verdana"/>
          <w:sz w:val="18"/>
          <w:szCs w:val="18"/>
        </w:rPr>
        <w:t>Sophos</w:t>
      </w:r>
      <w:proofErr w:type="spellEnd"/>
      <w:r>
        <w:rPr>
          <w:rFonts w:ascii="Verdana" w:hAnsi="Verdana" w:cs="Verdana"/>
          <w:sz w:val="18"/>
          <w:szCs w:val="18"/>
        </w:rPr>
        <w:t xml:space="preserve"> XG </w:t>
      </w:r>
      <w:proofErr w:type="spellStart"/>
      <w:r>
        <w:rPr>
          <w:rFonts w:ascii="Verdana" w:hAnsi="Verdana" w:cs="Verdana"/>
          <w:sz w:val="18"/>
          <w:szCs w:val="18"/>
        </w:rPr>
        <w:t>FullGuard</w:t>
      </w:r>
      <w:proofErr w:type="spellEnd"/>
      <w:r>
        <w:rPr>
          <w:rFonts w:ascii="Verdana" w:hAnsi="Verdana" w:cs="Verdana"/>
          <w:sz w:val="18"/>
          <w:szCs w:val="18"/>
        </w:rPr>
        <w:t xml:space="preserve"> Plus (licencja edukacyjna 4 lata) lub programu równoważnego dla potrzeb Wyższej Szkoły Bankowej we Wrocławiu.</w:t>
      </w:r>
    </w:p>
    <w:p w:rsidR="00015314" w:rsidRDefault="00015314" w:rsidP="0001531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1" w:lineRule="auto"/>
        <w:ind w:left="405"/>
      </w:pPr>
    </w:p>
    <w:p w:rsidR="00015314" w:rsidRDefault="00015314" w:rsidP="00015314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</w:pPr>
      <w:r>
        <w:t>Charakterystyka zamawianego oprogramowania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Typ systemu ochrony: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1. System ochrony sieci musi być dostarczony w postaci komercyjnej platformy z zabezpieczonym systemem operacyjnym jako licencja do instalacji na sprzęcie zamawiającego lub środowisku VM (</w:t>
      </w:r>
      <w:proofErr w:type="spellStart"/>
      <w:r>
        <w:rPr>
          <w:rFonts w:cs="Calibri"/>
        </w:rPr>
        <w:t>virtual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applinace</w:t>
      </w:r>
      <w:proofErr w:type="spellEnd"/>
      <w:r>
        <w:rPr>
          <w:rFonts w:cs="Calibri"/>
        </w:rPr>
        <w:t>).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2. Rozwiązanie musi wspierać następujące tryby pracy: routing (warstwa 3), </w:t>
      </w:r>
      <w:proofErr w:type="spellStart"/>
      <w:r>
        <w:rPr>
          <w:rFonts w:cs="Calibri"/>
        </w:rPr>
        <w:t>bridge</w:t>
      </w:r>
      <w:proofErr w:type="spellEnd"/>
      <w:r>
        <w:rPr>
          <w:rFonts w:cs="Calibri"/>
        </w:rPr>
        <w:t xml:space="preserve"> (warstwa 2) i hybrydowy (część jako router, część jako </w:t>
      </w:r>
      <w:proofErr w:type="spellStart"/>
      <w:r>
        <w:rPr>
          <w:rFonts w:cs="Calibri"/>
        </w:rPr>
        <w:t>bridge</w:t>
      </w:r>
      <w:proofErr w:type="spellEnd"/>
      <w:r>
        <w:rPr>
          <w:rFonts w:cs="Calibri"/>
        </w:rPr>
        <w:t>).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3. Wymagania systemowe: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System ochrony musi spełniać wymagania w niżej wymienionym zakresie.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- Musi istnieć możliwość instalacji na fizycznym sprzęcie zgodny z x86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- Musi istnieć możliwość instalacji jako VM (Virtual Machine) w środowisku </w:t>
      </w:r>
      <w:proofErr w:type="spellStart"/>
      <w:r>
        <w:rPr>
          <w:rFonts w:cs="Calibri"/>
        </w:rPr>
        <w:t>VMware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Citrix</w:t>
      </w:r>
      <w:proofErr w:type="spellEnd"/>
      <w:r>
        <w:rPr>
          <w:rFonts w:cs="Calibri"/>
        </w:rPr>
        <w:t>, Hyper-V lub KVM.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- Nielimitowana ilość użytkowników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- Licencja do instalacji na zasobie (sprzętowym lub wirtualnym) posiadającym 8 rdzeni procesora i 16GB pamięci RAM.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- Nielimitowana (sztucznie ograniczana) liczba użytkowników i interfejsów sieciowych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- Licencja musi umożliwiać aktywację i użytkowanie wszystkich opcjonalnych modułów funkcjonalnych przez okres 4 lat.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PODSTAWOWE FUNKCJE SYSTEMU OCHRONY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Zarządzanie i utrzymanie: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1. Rozwiązanie musi być zarządzanie przez wbudowany webowy graficzny interfejs użytkownika (Web GUI). Wbudowany webowy graficzny interfejs użytkownika musi oferować narzędzia diagnostyczne takie jak: ping, </w:t>
      </w:r>
      <w:proofErr w:type="spellStart"/>
      <w:r>
        <w:rPr>
          <w:rFonts w:cs="Calibri"/>
        </w:rPr>
        <w:t>traceroute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name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lookup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route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lookup</w:t>
      </w:r>
      <w:proofErr w:type="spellEnd"/>
      <w:r>
        <w:rPr>
          <w:rFonts w:cs="Calibri"/>
        </w:rPr>
        <w:t>. Interfejs graficzny musi zapewniać narzędzia do przechwytywania pakietów, wyświetlania otwartych połączeń sieciowych, wyświetlania tablicy ARP/NDP.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2. Rozwiązanie musi oferować pełen wiersz poleceń dostępny z poziomu interfejsu graficznego urządzenia, portu konsolowego oraz za pośrednictwem bezpiecznego protokołu SSH.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3. Rozwiązanie musi oferować możliwość definiowania profili administracyjnych określających dostęp do poszczególnych modułów konfiguracyjnych urządzenia na prawach: brak dostępu, dostęp tylko do odczytu lub pełen odczyt i zapis.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4. System musi oferować opcję automatycznego wylogowania administratora po zdefiniowanym czasie bezczynności.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5. System musi oferować możliwość zdefiniowania polityki bezpieczeństwa dla haseł administratorów w zakresie minimalnej ilości znaków czy złożoności hasła.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6. System musi oferować mechanizm blokady kolejnych połączeń w przypadku prób nieautoryzowanego dostępu do interfejsu do zarządzania. Liczba takich prób oraz czas blokady musi być swobodnie definiowane przez administratora.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7. System musi oferować możliwość zdefiniowania własnych obiektów typu sieć, usługa, host,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harmonogram czasowy, użytkownik, grupa użytkowników, klient, serwer z możliwością wykorzystania ich do budowy polityk bezpieczeństwa. Dodawanie tego typu obiektów musi być możliwe bezpośrednio podczas tworzenia dowolnej polisy bezpieczeństwa.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8. System musi oferować mechanizm pozwalający na śledzenie zmian w konfiguracji.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9. Rozwiązanie musi zapewniać elastyczne zarządzanie dostępem do usług administracyjnych na poziomie stref zapory sieciowej.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10. System musi być wyposażony w mechanizm automatycznego powiadamiania za pośrednictwem protokołów SMTP lub SNMP.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11. Rozwiązanie musi oferować wsparcie dla protokołów SNMP v1, v2 i v3.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12. System musi zapewniać monitorowanie w czasie rzeczywistym stanu systemu (użycie CPU, RAM, HDD, obciążenie interfejsów sieciowych).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13. System musi oferować możliwość integracji z centralnym systemem do zarządzania.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14. Wymagane jest, aby rozwiązanie oferowało wbudowany mechanizm do tworzenia kopii zapasowych konfiguracji z zapisem do pliku lokalnego lub via email.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15. Rozwiązanie musi oferować mechanizm pozwalający na automatyczne tworzenie kopii zapasowych w odstępach czasowych: codziennie, raz w tygodniu lub raz w miesiącu.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16. Rozwiązanie musi zapewnić możliwość uruchomienia zdalnego dostępu dla pracowników wsparcia technicznego bez konieczności tworzenia czy modyfikowania polis zapory sieciowej.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17. Zarządzanie licencjami i subskrypcjami musi odbywać się za pośrednictwem portalu on-</w:t>
      </w:r>
      <w:proofErr w:type="spellStart"/>
      <w:r>
        <w:rPr>
          <w:rFonts w:cs="Calibri"/>
        </w:rPr>
        <w:t>cloud</w:t>
      </w:r>
      <w:proofErr w:type="spellEnd"/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18. Rozwiązanie musi umożliwiać przechowywanie przynajmniej dwóch wersji oprogramowania systemowego (</w:t>
      </w:r>
      <w:proofErr w:type="spellStart"/>
      <w:r>
        <w:rPr>
          <w:rFonts w:cs="Calibri"/>
        </w:rPr>
        <w:t>firmware</w:t>
      </w:r>
      <w:proofErr w:type="spellEnd"/>
      <w:r>
        <w:rPr>
          <w:rFonts w:cs="Calibri"/>
        </w:rPr>
        <w:t>).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19. System ochrony musi umożliwiać rozbudowę i utworzenie klastra złożonego z dwóch urządzeń w celu zapewnienia wysokiej dostępności w trybie Active-Active lub Active-</w:t>
      </w:r>
      <w:proofErr w:type="spellStart"/>
      <w:r>
        <w:rPr>
          <w:rFonts w:cs="Calibri"/>
        </w:rPr>
        <w:t>Passive</w:t>
      </w:r>
      <w:proofErr w:type="spellEnd"/>
      <w:r>
        <w:rPr>
          <w:rFonts w:cs="Calibri"/>
        </w:rPr>
        <w:t>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20. W przypadku klastra Active-</w:t>
      </w:r>
      <w:proofErr w:type="spellStart"/>
      <w:r>
        <w:rPr>
          <w:rFonts w:cs="Calibri"/>
        </w:rPr>
        <w:t>Passive</w:t>
      </w:r>
      <w:proofErr w:type="spellEnd"/>
      <w:r>
        <w:rPr>
          <w:rFonts w:cs="Calibri"/>
        </w:rPr>
        <w:t xml:space="preserve"> nie jest wymagany zakup dodatkowej licencji (w tym na drugie urządzenie).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Zapora sieciowa, konfiguracja sieciowa oraz routing: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1. Wymagane jest</w:t>
      </w:r>
      <w:r w:rsidR="00D81321">
        <w:rPr>
          <w:rFonts w:cs="Calibri"/>
        </w:rPr>
        <w:t>,</w:t>
      </w:r>
      <w:r>
        <w:rPr>
          <w:rFonts w:cs="Calibri"/>
        </w:rPr>
        <w:t xml:space="preserve"> aby zapora sieciowa działała w oparciu o mechanizm </w:t>
      </w:r>
      <w:proofErr w:type="spellStart"/>
      <w:r>
        <w:rPr>
          <w:rFonts w:cs="Calibri"/>
        </w:rPr>
        <w:t>Stateful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Deep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Packet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Inspection</w:t>
      </w:r>
      <w:proofErr w:type="spellEnd"/>
      <w:r>
        <w:rPr>
          <w:rFonts w:cs="Calibri"/>
        </w:rPr>
        <w:t>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2. Rozwiązanie musi umożliwiać budowanie polis w oparciu o takie obiekty jak sieć, użytkownik, grupa lub czas.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3. System musi umożliwiać budowanie polis bezpieczeństwa dla użytkowników i grup użytkowników w oparciu o definiowane przez administratora harmonogramy czasowe.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4. Polisy zapory muszą umożliwiać egzekwowanie ruchu dla poszczególnych stref, sieci lub usług.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5. Rozwiązanie musi zapewniać możliwość tworzenia polis w oparciu o relacje między strefami zapory sieciowej.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6. System ochrony musi zawierać predefiniowane strefy typu: LAN, WAN, DMZ, LOCAL/SELF, VPN.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7. Rozwiązanie musi oferować możliwość definiowania własnych stref zapory sieciowej.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8. Rozwiązanie musi pozwolić na definiowanie własnych polis NAT wraz z IP </w:t>
      </w:r>
      <w:proofErr w:type="spellStart"/>
      <w:r>
        <w:rPr>
          <w:rFonts w:cs="Calibri"/>
        </w:rPr>
        <w:t>masquerading</w:t>
      </w:r>
      <w:proofErr w:type="spellEnd"/>
      <w:r>
        <w:rPr>
          <w:rFonts w:cs="Calibri"/>
        </w:rPr>
        <w:t>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9. System musi zapewniać ochronę przed atakami </w:t>
      </w:r>
      <w:proofErr w:type="spellStart"/>
      <w:r>
        <w:rPr>
          <w:rFonts w:cs="Calibri"/>
        </w:rPr>
        <w:t>DoS</w:t>
      </w:r>
      <w:proofErr w:type="spellEnd"/>
      <w:r>
        <w:rPr>
          <w:rFonts w:cs="Calibri"/>
        </w:rPr>
        <w:t xml:space="preserve"> czy </w:t>
      </w:r>
      <w:proofErr w:type="spellStart"/>
      <w:r>
        <w:rPr>
          <w:rFonts w:cs="Calibri"/>
        </w:rPr>
        <w:t>DDoS</w:t>
      </w:r>
      <w:proofErr w:type="spellEnd"/>
      <w:r>
        <w:rPr>
          <w:rFonts w:cs="Calibri"/>
        </w:rPr>
        <w:t xml:space="preserve"> (</w:t>
      </w:r>
      <w:proofErr w:type="spellStart"/>
      <w:r>
        <w:rPr>
          <w:rFonts w:cs="Calibri"/>
        </w:rPr>
        <w:t>flood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protection</w:t>
      </w:r>
      <w:proofErr w:type="spellEnd"/>
      <w:r>
        <w:rPr>
          <w:rFonts w:cs="Calibri"/>
        </w:rPr>
        <w:t>).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10. System musi zapewniać ochrona przed skanowaniem portów (</w:t>
      </w:r>
      <w:proofErr w:type="spellStart"/>
      <w:r>
        <w:rPr>
          <w:rFonts w:cs="Calibri"/>
        </w:rPr>
        <w:t>portscan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blocking</w:t>
      </w:r>
      <w:proofErr w:type="spellEnd"/>
      <w:r>
        <w:rPr>
          <w:rFonts w:cs="Calibri"/>
        </w:rPr>
        <w:t>).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11. System musi zapewniać blokowanie ruchu na podstawie kraju pochodzenia (</w:t>
      </w:r>
      <w:proofErr w:type="spellStart"/>
      <w:r>
        <w:rPr>
          <w:rFonts w:cs="Calibri"/>
        </w:rPr>
        <w:t>geolokalizacja</w:t>
      </w:r>
      <w:proofErr w:type="spellEnd"/>
      <w:r>
        <w:rPr>
          <w:rFonts w:cs="Calibri"/>
        </w:rPr>
        <w:t xml:space="preserve"> IP).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12. Rozwiązanie musi zapewniać obsługę routingu statycznego.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13. Rozwiązanie musi zapewniać obsługę protokołów routingu dynamicznego (RIP, BGP, OSPF).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14. System musi oferować wsparcie dla IGMP </w:t>
      </w:r>
      <w:proofErr w:type="spellStart"/>
      <w:r>
        <w:rPr>
          <w:rFonts w:cs="Calibri"/>
        </w:rPr>
        <w:t>snooping</w:t>
      </w:r>
      <w:proofErr w:type="spellEnd"/>
      <w:r>
        <w:rPr>
          <w:rFonts w:cs="Calibri"/>
        </w:rPr>
        <w:t>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15. Rozwiązanie musi zapewniać możliwość przekierowania ruchu do nadrzędnego serwera </w:t>
      </w:r>
      <w:proofErr w:type="spellStart"/>
      <w:r>
        <w:rPr>
          <w:rFonts w:cs="Calibri"/>
        </w:rPr>
        <w:t>proxy</w:t>
      </w:r>
      <w:proofErr w:type="spellEnd"/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spellStart"/>
      <w:r>
        <w:rPr>
          <w:rFonts w:cs="Calibri"/>
        </w:rPr>
        <w:t>upstream</w:t>
      </w:r>
      <w:proofErr w:type="spellEnd"/>
      <w:r>
        <w:rPr>
          <w:rFonts w:cs="Calibri"/>
        </w:rPr>
        <w:t>/</w:t>
      </w:r>
      <w:proofErr w:type="spellStart"/>
      <w:r>
        <w:rPr>
          <w:rFonts w:cs="Calibri"/>
        </w:rPr>
        <w:t>parrent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proxy</w:t>
      </w:r>
      <w:proofErr w:type="spellEnd"/>
      <w:r>
        <w:rPr>
          <w:rFonts w:cs="Calibri"/>
        </w:rPr>
        <w:t>).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16. Rozwiązanie musi oferować możliwość łączenia interfejsów w warstwie L2 (</w:t>
      </w:r>
      <w:proofErr w:type="spellStart"/>
      <w:r>
        <w:rPr>
          <w:rFonts w:cs="Calibri"/>
        </w:rPr>
        <w:t>bridge</w:t>
      </w:r>
      <w:proofErr w:type="spellEnd"/>
      <w:r>
        <w:rPr>
          <w:rFonts w:cs="Calibri"/>
        </w:rPr>
        <w:t>) wraz z STP oraz przekazywaniem ruchu rozgłoszeniowego ARP.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17. System musi oferować funkcjonalność serwera DHCP dla IPv4 oraz IPv6 i DHCP </w:t>
      </w:r>
      <w:proofErr w:type="spellStart"/>
      <w:r>
        <w:rPr>
          <w:rFonts w:cs="Calibri"/>
        </w:rPr>
        <w:t>Relay</w:t>
      </w:r>
      <w:proofErr w:type="spellEnd"/>
      <w:r>
        <w:rPr>
          <w:rFonts w:cs="Calibri"/>
        </w:rPr>
        <w:t>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18. System musi oferować wsparcie dla IEEE 802.3Q VLAN z niezależnymi pulami DHCP.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19. Rozwiązanie musi zapewniać rozkład ruchu pomiędzy wieloma interfejsami WAN, z automatyczną diagnostyką łączy oraz automatycznym przełączaniem ruchu w przypadku awarii łącza.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20. Rozwiązanie musi umożliwiać rozkładanie ruchu do strefy WAN w oparciu o wagi interfejsów.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21. Rozwiązanie musi oferować wsparcie dla Policy </w:t>
      </w:r>
      <w:proofErr w:type="spellStart"/>
      <w:r>
        <w:rPr>
          <w:rFonts w:cs="Calibri"/>
        </w:rPr>
        <w:t>Based</w:t>
      </w:r>
      <w:proofErr w:type="spellEnd"/>
      <w:r>
        <w:rPr>
          <w:rFonts w:cs="Calibri"/>
        </w:rPr>
        <w:t xml:space="preserve"> Routing oraz </w:t>
      </w:r>
      <w:proofErr w:type="spellStart"/>
      <w:r>
        <w:rPr>
          <w:rFonts w:cs="Calibri"/>
        </w:rPr>
        <w:t>Multipath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Rules</w:t>
      </w:r>
      <w:proofErr w:type="spellEnd"/>
      <w:r>
        <w:rPr>
          <w:rFonts w:cs="Calibri"/>
        </w:rPr>
        <w:t>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23. Rozwiązanie musi oferować możliwość agregowania linków fizycznych w oparciu o IEEE 802.3ad (LACP).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24. System musi zapewniać pełną obsługę usług DNS, DHCP oraz NTP.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25. System musi oferować wsparcie dla usług </w:t>
      </w:r>
      <w:proofErr w:type="spellStart"/>
      <w:r>
        <w:rPr>
          <w:rFonts w:cs="Calibri"/>
        </w:rPr>
        <w:t>Dynamic</w:t>
      </w:r>
      <w:proofErr w:type="spellEnd"/>
      <w:r>
        <w:rPr>
          <w:rFonts w:cs="Calibri"/>
        </w:rPr>
        <w:t xml:space="preserve"> DNS takich jak </w:t>
      </w:r>
      <w:proofErr w:type="spellStart"/>
      <w:r>
        <w:rPr>
          <w:rFonts w:cs="Calibri"/>
        </w:rPr>
        <w:t>DynDNS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ZoneEdit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EasyDNS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DynAcces</w:t>
      </w:r>
      <w:proofErr w:type="spellEnd"/>
      <w:r>
        <w:rPr>
          <w:rFonts w:cs="Calibri"/>
        </w:rPr>
        <w:t xml:space="preserve"> lub inną oferowana przez producenta rozwiązania.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26. Rozwiązanie musi zapewniać wsparcie dla IPv6 wraz z tunelowaniem 6in4, 6to4, 4in6 oraz IPv6 </w:t>
      </w:r>
      <w:proofErr w:type="spellStart"/>
      <w:r>
        <w:rPr>
          <w:rFonts w:cs="Calibri"/>
        </w:rPr>
        <w:t>rapid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deployment</w:t>
      </w:r>
      <w:proofErr w:type="spellEnd"/>
      <w:r>
        <w:rPr>
          <w:rFonts w:cs="Calibri"/>
        </w:rPr>
        <w:t xml:space="preserve"> (6rd).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Podstawowe kształtowanie pasma oraz limity ilości danych: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1. System musi zapewniać możliwość elastycznego kształtowania pasma (</w:t>
      </w:r>
      <w:proofErr w:type="spellStart"/>
      <w:r>
        <w:rPr>
          <w:rFonts w:cs="Calibri"/>
        </w:rPr>
        <w:t>QoS</w:t>
      </w:r>
      <w:proofErr w:type="spellEnd"/>
      <w:r>
        <w:rPr>
          <w:rFonts w:cs="Calibri"/>
        </w:rPr>
        <w:t>) dla sieci lub użytkowników.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2. Rozwiązanie musi pozwalać na tworzenie limitów ilości danych dla użytkowników w kierunku </w:t>
      </w:r>
      <w:proofErr w:type="spellStart"/>
      <w:r>
        <w:rPr>
          <w:rFonts w:cs="Calibri"/>
        </w:rPr>
        <w:t>upload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download</w:t>
      </w:r>
      <w:proofErr w:type="spellEnd"/>
      <w:r>
        <w:rPr>
          <w:rFonts w:cs="Calibri"/>
        </w:rPr>
        <w:t xml:space="preserve"> lub </w:t>
      </w:r>
      <w:proofErr w:type="spellStart"/>
      <w:r>
        <w:rPr>
          <w:rFonts w:cs="Calibri"/>
        </w:rPr>
        <w:t>total</w:t>
      </w:r>
      <w:proofErr w:type="spellEnd"/>
      <w:r>
        <w:rPr>
          <w:rFonts w:cs="Calibri"/>
        </w:rPr>
        <w:t>. Limity powinny być przyznawane cykliczne lub niecykliczne.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3. System musi mieć zaimplementowane mechanizmy optymalizujące ruch VoIP.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Bezpieczna sieć bezprzewodowa:</w:t>
      </w:r>
    </w:p>
    <w:p w:rsidR="00015314" w:rsidRDefault="00D81321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1. System musi</w:t>
      </w:r>
      <w:r w:rsidR="00015314">
        <w:rPr>
          <w:rFonts w:cs="Calibri"/>
        </w:rPr>
        <w:t xml:space="preserve"> zapewniać obsługę punktów dostępowych sieci bezprzewodowej producenta rozwiązania.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2. Wymagana jest obsługa punktów dostępowych sieci bezprzewodowej pracujących w trybach Wireless Bridge oraz Wireless </w:t>
      </w:r>
      <w:proofErr w:type="spellStart"/>
      <w:r>
        <w:rPr>
          <w:rFonts w:cs="Calibri"/>
        </w:rPr>
        <w:t>Repeater</w:t>
      </w:r>
      <w:proofErr w:type="spellEnd"/>
      <w:r>
        <w:rPr>
          <w:rFonts w:cs="Calibri"/>
        </w:rPr>
        <w:t>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3. Wdrożenie punktów dostępowych sieci bezprzewodowej musi odbywa</w:t>
      </w:r>
      <w:r w:rsidR="00D81321">
        <w:rPr>
          <w:rFonts w:cs="Calibri"/>
        </w:rPr>
        <w:t>ć się na zasadzie plug-and-</w:t>
      </w:r>
      <w:proofErr w:type="spellStart"/>
      <w:r w:rsidR="00D81321">
        <w:rPr>
          <w:rFonts w:cs="Calibri"/>
        </w:rPr>
        <w:t>play</w:t>
      </w:r>
      <w:proofErr w:type="spellEnd"/>
      <w:r w:rsidR="00D81321">
        <w:rPr>
          <w:rFonts w:cs="Calibri"/>
        </w:rPr>
        <w:t xml:space="preserve">, </w:t>
      </w:r>
      <w:r>
        <w:rPr>
          <w:rFonts w:cs="Calibri"/>
        </w:rPr>
        <w:t>gdzie punkty dostępowe muszą automatycznie odnaleźć kontroler sieci bezprzewodowej zintegrowany w dostarczanym rozwiązaniu.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4. Zarządzanie punktami dostęp</w:t>
      </w:r>
      <w:r w:rsidR="00D81321">
        <w:rPr>
          <w:rFonts w:cs="Calibri"/>
        </w:rPr>
        <w:t>owymi sieci bezprzewodowej musi</w:t>
      </w:r>
      <w:r>
        <w:rPr>
          <w:rFonts w:cs="Calibri"/>
        </w:rPr>
        <w:t xml:space="preserve"> odbywać się z poziomu webowego interfejsu graficznego rozwiązania oferując centralne monitorowanie i zarządzanie tak punktami dostępowymi jak klientami sieci bezprzewodowej.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5. Punkty dostępowe sieci bezprzewodowej muszą być powiązane z siecią lokalną, siecią VLAN lub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dedykowaną strefą zapory zachowując możliwość izolacji klientów sieci bezprzewodowej.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6. Rozwiązanie musi umożliwiać obsługę wielu SSID w możliwością wyłączenia rozgłaszania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identyfikatorów sieci bezprzewodowej.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7. Rozwiązanie musi oferować wsparcie dla WPA2 Personal oraz WPA2 Enterprise.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8. Rozwiązanie musi zapewniać wsparcie dla IEEE 802.1X (RADIUS </w:t>
      </w:r>
      <w:proofErr w:type="spellStart"/>
      <w:r>
        <w:rPr>
          <w:rFonts w:cs="Calibri"/>
        </w:rPr>
        <w:t>Authentication</w:t>
      </w:r>
      <w:proofErr w:type="spellEnd"/>
      <w:r>
        <w:rPr>
          <w:rFonts w:cs="Calibri"/>
        </w:rPr>
        <w:t>).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9. Rozwiązanie musi oferować wsparcie dla IEEE 802.11r (Fast </w:t>
      </w:r>
      <w:proofErr w:type="spellStart"/>
      <w:r>
        <w:rPr>
          <w:rFonts w:cs="Calibri"/>
        </w:rPr>
        <w:t>Transition</w:t>
      </w:r>
      <w:proofErr w:type="spellEnd"/>
      <w:r>
        <w:rPr>
          <w:rFonts w:cs="Calibri"/>
        </w:rPr>
        <w:t>).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10. System musi umożliwiać tworzenie hot spotów z możliwością definiowania własnych voucherów.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11. Dostęp do sieci bezprzewodowej musi być możliwy po zaakceptowaniu warunków, wprowadzeniu hasła dnia, kodu z vouchera lub po autoryzacji z użyciem nazwy użytkownika oraz hasła dla gości.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12. System musi zapewniać możliwość tworzenia sieci dla gości w wariancie </w:t>
      </w:r>
      <w:proofErr w:type="spellStart"/>
      <w:r>
        <w:rPr>
          <w:rFonts w:cs="Calibri"/>
        </w:rPr>
        <w:t>walled</w:t>
      </w:r>
      <w:proofErr w:type="spellEnd"/>
      <w:r>
        <w:rPr>
          <w:rFonts w:cs="Calibri"/>
        </w:rPr>
        <w:t xml:space="preserve"> garden.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13. System musi pozwalać na ograniczanie dostępu do sieci bezprzewodowej w oparciu o harmonogramy czasowe.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14. Rozwiązanie musi zawierać działający w tle mechanizm cyklicznego automatycznego doboru kanałów sieci bezprzewodowej oraz wykrywania wrogich punktów dostępowych.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Autoryzacja użytkowników: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1. Wymagana praca w trybie Transparent Proxy </w:t>
      </w:r>
      <w:proofErr w:type="spellStart"/>
      <w:r>
        <w:rPr>
          <w:rFonts w:cs="Calibri"/>
        </w:rPr>
        <w:t>Authentication</w:t>
      </w:r>
      <w:proofErr w:type="spellEnd"/>
      <w:r>
        <w:rPr>
          <w:rFonts w:cs="Calibri"/>
        </w:rPr>
        <w:t xml:space="preserve"> (NTLM/</w:t>
      </w:r>
      <w:proofErr w:type="spellStart"/>
      <w:r>
        <w:rPr>
          <w:rFonts w:cs="Calibri"/>
        </w:rPr>
        <w:t>Kerberos</w:t>
      </w:r>
      <w:proofErr w:type="spellEnd"/>
      <w:r>
        <w:rPr>
          <w:rFonts w:cs="Calibri"/>
        </w:rPr>
        <w:t xml:space="preserve">) lub Client </w:t>
      </w:r>
      <w:proofErr w:type="spellStart"/>
      <w:r>
        <w:rPr>
          <w:rFonts w:cs="Calibri"/>
        </w:rPr>
        <w:t>Authentication</w:t>
      </w:r>
      <w:proofErr w:type="spellEnd"/>
      <w:r>
        <w:rPr>
          <w:rFonts w:cs="Calibri"/>
        </w:rPr>
        <w:t>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2. Rozwiązanie musi być wyposażone w lokalną bazę użytkowników umożliwiającą wykreowanie nie mniej niż 500 kont.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3. System musi zapewniać możliwość autentykacji w oparciu o Active Directory, </w:t>
      </w:r>
      <w:proofErr w:type="spellStart"/>
      <w:r>
        <w:rPr>
          <w:rFonts w:cs="Calibri"/>
        </w:rPr>
        <w:t>eDirectory</w:t>
      </w:r>
      <w:proofErr w:type="spellEnd"/>
      <w:r>
        <w:rPr>
          <w:rFonts w:cs="Calibri"/>
        </w:rPr>
        <w:t>, RADIUS, LDAP i TACACS+.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4. Rozwiązanie musi umożliwiać automatyczne uwierzytelnianie i identyfikowanie użytkowników w trybie Single </w:t>
      </w:r>
      <w:proofErr w:type="spellStart"/>
      <w:r>
        <w:rPr>
          <w:rFonts w:cs="Calibri"/>
        </w:rPr>
        <w:t>Sign</w:t>
      </w:r>
      <w:proofErr w:type="spellEnd"/>
      <w:r>
        <w:rPr>
          <w:rFonts w:cs="Calibri"/>
        </w:rPr>
        <w:t xml:space="preserve"> On (SSO) w środowiskach opartych o Active Directory oraz </w:t>
      </w:r>
      <w:proofErr w:type="spellStart"/>
      <w:r>
        <w:rPr>
          <w:rFonts w:cs="Calibri"/>
        </w:rPr>
        <w:t>eDirectory</w:t>
      </w:r>
      <w:proofErr w:type="spellEnd"/>
      <w:r>
        <w:rPr>
          <w:rFonts w:cs="Calibri"/>
        </w:rPr>
        <w:t>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5. System musi umożliwiać autoryzację dwustopniową za pomocą hasła jednorazowego (One Time </w:t>
      </w:r>
      <w:proofErr w:type="spellStart"/>
      <w:r>
        <w:rPr>
          <w:rFonts w:cs="Calibri"/>
        </w:rPr>
        <w:t>Password</w:t>
      </w:r>
      <w:proofErr w:type="spellEnd"/>
      <w:r>
        <w:rPr>
          <w:rFonts w:cs="Calibri"/>
        </w:rPr>
        <w:t>).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6. Rozwiązanie musi umożliwiać automatyczne uwierzytelnianie i identyfikowanie użytkowników w trybie Single </w:t>
      </w:r>
      <w:proofErr w:type="spellStart"/>
      <w:r>
        <w:rPr>
          <w:rFonts w:cs="Calibri"/>
        </w:rPr>
        <w:t>Sign</w:t>
      </w:r>
      <w:proofErr w:type="spellEnd"/>
      <w:r>
        <w:rPr>
          <w:rFonts w:cs="Calibri"/>
        </w:rPr>
        <w:t xml:space="preserve"> On (SSO) w środowisku opartym o Windows Terminal Server.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7. System musi oferować możliwość uwierzytelniania użytkowników za pośrednictwem oprogramowania (klienta) dostępnego dla platform Windows, Mac OS X, Linux, iOS, Android.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8. Rozwiązanie musi zapewniać możliwość uwierzytelniania klientów VPN w tym </w:t>
      </w:r>
      <w:proofErr w:type="spellStart"/>
      <w:r>
        <w:rPr>
          <w:rFonts w:cs="Calibri"/>
        </w:rPr>
        <w:t>IPSec</w:t>
      </w:r>
      <w:proofErr w:type="spellEnd"/>
      <w:r>
        <w:rPr>
          <w:rFonts w:cs="Calibri"/>
        </w:rPr>
        <w:t>, SSL, PPTP.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9. Rozwiązanie musi oferować możliwość uwierzytelniania przez wbudowany </w:t>
      </w:r>
      <w:proofErr w:type="spellStart"/>
      <w:r>
        <w:rPr>
          <w:rFonts w:cs="Calibri"/>
        </w:rPr>
        <w:t>Captive</w:t>
      </w:r>
      <w:proofErr w:type="spellEnd"/>
      <w:r>
        <w:rPr>
          <w:rFonts w:cs="Calibri"/>
        </w:rPr>
        <w:t xml:space="preserve"> Portal.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Samoobsługowy portal dla użytkowników: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1. Rozwiązanie musi udostępniać plik instalacyjny agenta do autentykacji w sieci.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2. Rozwiązanie musi udostępniać plik instalacyjny klienta SSL VPN dla Windows (wraz z konfiguracją).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3. Rozwiązanie musi udostępniać plik z konfiguracją dla klienta SSL VPN dla Windows.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4. Rozwiązanie musi udostępniać plik z konfiguracją dla klientów SSL VPN dla innych systemów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operacyjnych w tym dla Mac OS X, Linux, iOS, Android.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5. Rozwiązanie musi umożliwiać zmianę nazwy użytkownika oraz hasła.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6. Rozwiązanie musi pozwalać na podglądu statystyk ruchu generowanego przez użytkownika.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7. Rozwiązanie musi oferować samoobsługowe zarządzanie kwarantanną dla wiadomości email.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Podstawowe opcje VPN</w:t>
      </w:r>
      <w:r w:rsidR="00D81321">
        <w:rPr>
          <w:rFonts w:cs="Calibri"/>
        </w:rPr>
        <w:t xml:space="preserve"> (wymagania obowiązkowe)</w:t>
      </w:r>
      <w:r>
        <w:rPr>
          <w:rFonts w:cs="Calibri"/>
        </w:rPr>
        <w:t>: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1. System musi zapewniać funkcjonalność koncentratora VPN w zakresie połączeń: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- Site-to-</w:t>
      </w:r>
      <w:proofErr w:type="spellStart"/>
      <w:r>
        <w:rPr>
          <w:rFonts w:cs="Calibri"/>
        </w:rPr>
        <w:t>site</w:t>
      </w:r>
      <w:proofErr w:type="spellEnd"/>
      <w:r>
        <w:rPr>
          <w:rFonts w:cs="Calibri"/>
        </w:rPr>
        <w:t xml:space="preserve"> VPN: </w:t>
      </w:r>
      <w:proofErr w:type="spellStart"/>
      <w:r>
        <w:rPr>
          <w:rFonts w:cs="Calibri"/>
        </w:rPr>
        <w:t>IPSec</w:t>
      </w:r>
      <w:proofErr w:type="spellEnd"/>
      <w:r>
        <w:rPr>
          <w:rFonts w:cs="Calibri"/>
        </w:rPr>
        <w:t>, 256-bit AES/3DES, PFS, autoryzacja z użyciem klucza RSA, PKI (X.509) lub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współdzielonego klucza </w:t>
      </w:r>
      <w:proofErr w:type="spellStart"/>
      <w:r>
        <w:rPr>
          <w:rFonts w:cs="Calibri"/>
        </w:rPr>
        <w:t>Pre-Shared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Key</w:t>
      </w:r>
      <w:proofErr w:type="spellEnd"/>
      <w:r>
        <w:rPr>
          <w:rFonts w:cs="Calibri"/>
        </w:rPr>
        <w:t xml:space="preserve"> (PSK),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- Client-to-</w:t>
      </w:r>
      <w:proofErr w:type="spellStart"/>
      <w:r>
        <w:rPr>
          <w:rFonts w:cs="Calibri"/>
        </w:rPr>
        <w:t>site</w:t>
      </w:r>
      <w:proofErr w:type="spellEnd"/>
      <w:r>
        <w:rPr>
          <w:rFonts w:cs="Calibri"/>
        </w:rPr>
        <w:t xml:space="preserve"> VPN: </w:t>
      </w:r>
      <w:proofErr w:type="spellStart"/>
      <w:r>
        <w:rPr>
          <w:rFonts w:cs="Calibri"/>
        </w:rPr>
        <w:t>IPSec</w:t>
      </w:r>
      <w:proofErr w:type="spellEnd"/>
      <w:r>
        <w:rPr>
          <w:rFonts w:cs="Calibri"/>
        </w:rPr>
        <w:t>, PPTP, L2TP, SSL (klient dla Windows dostępny z poziomu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samoobsługowego portalu użytkownika).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Klient </w:t>
      </w:r>
      <w:proofErr w:type="spellStart"/>
      <w:r>
        <w:rPr>
          <w:rFonts w:cs="Calibri"/>
        </w:rPr>
        <w:t>IPSec</w:t>
      </w:r>
      <w:proofErr w:type="spellEnd"/>
      <w:r>
        <w:rPr>
          <w:rFonts w:cs="Calibri"/>
        </w:rPr>
        <w:t xml:space="preserve"> VPN (dostępny osobno</w:t>
      </w:r>
      <w:r w:rsidR="00D81321">
        <w:rPr>
          <w:rFonts w:cs="Calibri"/>
        </w:rPr>
        <w:t>, wymagania obowiązkowe</w:t>
      </w:r>
      <w:r>
        <w:rPr>
          <w:rFonts w:cs="Calibri"/>
        </w:rPr>
        <w:t>):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1. Autoryzacja poprzez współdzielony klucz </w:t>
      </w:r>
      <w:proofErr w:type="spellStart"/>
      <w:r>
        <w:rPr>
          <w:rFonts w:cs="Calibri"/>
        </w:rPr>
        <w:t>Pre-Shared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Key</w:t>
      </w:r>
      <w:proofErr w:type="spellEnd"/>
      <w:r>
        <w:rPr>
          <w:rFonts w:cs="Calibri"/>
        </w:rPr>
        <w:t xml:space="preserve"> (PSK), PKI (X.509), </w:t>
      </w:r>
      <w:proofErr w:type="spellStart"/>
      <w:r>
        <w:rPr>
          <w:rFonts w:cs="Calibri"/>
        </w:rPr>
        <w:t>Smartcard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Token</w:t>
      </w:r>
      <w:proofErr w:type="spellEnd"/>
      <w:r>
        <w:rPr>
          <w:rFonts w:cs="Calibri"/>
        </w:rPr>
        <w:t xml:space="preserve"> + XAUTH.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2. Szyfrowanie z użyciem AES (128/192/256), DES, 3DES (112/168), </w:t>
      </w:r>
      <w:proofErr w:type="spellStart"/>
      <w:r>
        <w:rPr>
          <w:rFonts w:cs="Calibri"/>
        </w:rPr>
        <w:t>Blowfish</w:t>
      </w:r>
      <w:proofErr w:type="spellEnd"/>
      <w:r>
        <w:rPr>
          <w:rFonts w:cs="Calibri"/>
        </w:rPr>
        <w:t>, RSA (2048 bit), DH grupy 1/2/5/14, MD5 oraz SHA-256/384/512.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3. Wsparcie dla </w:t>
      </w:r>
      <w:proofErr w:type="spellStart"/>
      <w:r>
        <w:rPr>
          <w:rFonts w:cs="Calibri"/>
        </w:rPr>
        <w:t>split-tunneling</w:t>
      </w:r>
      <w:proofErr w:type="spellEnd"/>
      <w:r>
        <w:rPr>
          <w:rFonts w:cs="Calibri"/>
        </w:rPr>
        <w:t>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4. Wsparcie dla NAT-</w:t>
      </w:r>
      <w:proofErr w:type="spellStart"/>
      <w:r>
        <w:rPr>
          <w:rFonts w:cs="Calibri"/>
        </w:rPr>
        <w:t>traversal</w:t>
      </w:r>
      <w:proofErr w:type="spellEnd"/>
      <w:r>
        <w:rPr>
          <w:rFonts w:cs="Calibri"/>
        </w:rPr>
        <w:t>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5. Monitorowanie stanu połączenia.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OCHRONA SIECI</w:t>
      </w:r>
      <w:r w:rsidR="00D81321">
        <w:rPr>
          <w:rFonts w:cs="Calibri"/>
        </w:rPr>
        <w:t xml:space="preserve"> (wymagania obowiązkowe):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IPS: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1. Dodatkowy moduł ochrony klasy IPS z bazą minimum 7000 sygnatur. Rozwiązanie musi zapewniać możliwość dodawania własnych sygnatur IPS. Wymagane jest by system automatycznie aktualizował sygnatury zagrożeń. Rozwiązanie musi oferować możliwość wyłączenia/włączenia poszczególnych kategorii/sygnatur w celu zredukowania opóźnień w przesyłaniu pakietów. System musi generować alerty w przypadku wykrycia ataku.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ATP: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1. System ochrony musi zapewniać wykrywanie i/lub blokadę wszelkich prób nawiązywania połączenia z podejrzanymi serwerami </w:t>
      </w:r>
      <w:proofErr w:type="spellStart"/>
      <w:r>
        <w:rPr>
          <w:rFonts w:cs="Calibri"/>
        </w:rPr>
        <w:t>Command</w:t>
      </w:r>
      <w:proofErr w:type="spellEnd"/>
      <w:r>
        <w:rPr>
          <w:rFonts w:cs="Calibri"/>
        </w:rPr>
        <w:t xml:space="preserve"> and Control.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Synchronizacja z </w:t>
      </w:r>
      <w:proofErr w:type="spellStart"/>
      <w:r>
        <w:rPr>
          <w:rFonts w:cs="Calibri"/>
        </w:rPr>
        <w:t>endpoint</w:t>
      </w:r>
      <w:proofErr w:type="spellEnd"/>
      <w:r>
        <w:rPr>
          <w:rFonts w:cs="Calibri"/>
        </w:rPr>
        <w:t>: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2. System musi mieć możliwość rozbudowy uruchomienia synchronizacji stanu bezpieczeństwa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komputerów w sieci LAN z Firewallem. Możliwość automatycznego odcięcia komputera/ów zainfekowanych. (wymagane dodatkowe oprogramowanie nie będące częścią tego postępowania).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proofErr w:type="spellStart"/>
      <w:r>
        <w:rPr>
          <w:rFonts w:cs="Calibri"/>
        </w:rPr>
        <w:t>Clientless</w:t>
      </w:r>
      <w:proofErr w:type="spellEnd"/>
      <w:r>
        <w:rPr>
          <w:rFonts w:cs="Calibri"/>
        </w:rPr>
        <w:t xml:space="preserve"> VPN: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1. Udostępnianie zasobów w postaci usług HTTP, HTTPS, RDP, VNC, SSH, Telnet, FTP, FTPS, SFTP, SMB za pośrednictwem szyfrowanego kanału komunikacji realizowanego przy użyciu przeglądarki web obsługującej HTML5.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OCHRONA I KONTORLA WEB ORAZ APLIKACJI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Ochrona i kontrola Web: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1. Rozwiązanie musi działać jako Transparent Web Proxy filtrując treści oraz szkodliwe oprogramowanie w obrębie protokołów HTTP i HTTPS.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2. Moduł </w:t>
      </w:r>
      <w:r w:rsidR="00D81321">
        <w:rPr>
          <w:rFonts w:cs="Calibri"/>
        </w:rPr>
        <w:t>musi pozwalać</w:t>
      </w:r>
      <w:r>
        <w:rPr>
          <w:rFonts w:cs="Calibri"/>
        </w:rPr>
        <w:t xml:space="preserve"> na wykrycie i/lub blokadę prób nawiązywania połączenia z podejrzanymi serwerami </w:t>
      </w:r>
      <w:proofErr w:type="spellStart"/>
      <w:r>
        <w:rPr>
          <w:rFonts w:cs="Calibri"/>
        </w:rPr>
        <w:t>Command</w:t>
      </w:r>
      <w:proofErr w:type="spellEnd"/>
      <w:r>
        <w:rPr>
          <w:rFonts w:cs="Calibri"/>
        </w:rPr>
        <w:t xml:space="preserve"> and Control (ATP).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3. System</w:t>
      </w:r>
      <w:r w:rsidR="00D81321">
        <w:rPr>
          <w:rFonts w:cs="Calibri"/>
        </w:rPr>
        <w:t xml:space="preserve"> musi oferować</w:t>
      </w:r>
      <w:r>
        <w:rPr>
          <w:rFonts w:cs="Calibri"/>
        </w:rPr>
        <w:t xml:space="preserve"> inspekcję i ochronę przed </w:t>
      </w:r>
      <w:proofErr w:type="spellStart"/>
      <w:r>
        <w:rPr>
          <w:rFonts w:cs="Calibri"/>
        </w:rPr>
        <w:t>malware</w:t>
      </w:r>
      <w:proofErr w:type="spellEnd"/>
      <w:r>
        <w:rPr>
          <w:rFonts w:cs="Calibri"/>
        </w:rPr>
        <w:t xml:space="preserve"> dla protokołów HTTP, HTTPS oraz FTP.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4. System musi oferować możliwość uruchomienia drugiego niezależnego silnika antywirusowego.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5. Rozwiązanie musi automatyczne odpytywać bazy producenta w trybie rzeczywistym.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6. Rozwiązanie musi zapewniać skanowanie plików w czasie rzeczywistym (real-</w:t>
      </w:r>
      <w:proofErr w:type="spellStart"/>
      <w:r>
        <w:rPr>
          <w:rFonts w:cs="Calibri"/>
        </w:rPr>
        <w:t>time</w:t>
      </w:r>
      <w:proofErr w:type="spellEnd"/>
      <w:r>
        <w:rPr>
          <w:rFonts w:cs="Calibri"/>
        </w:rPr>
        <w:t>) lub partiami (</w:t>
      </w:r>
      <w:proofErr w:type="spellStart"/>
      <w:r>
        <w:rPr>
          <w:rFonts w:cs="Calibri"/>
        </w:rPr>
        <w:t>batch</w:t>
      </w:r>
      <w:proofErr w:type="spellEnd"/>
      <w:r>
        <w:rPr>
          <w:rFonts w:cs="Calibri"/>
        </w:rPr>
        <w:t>).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7. Rozwiązanie musi oferować funkcję inspekcji tunelowanego ruchu SSL wraz z tzw. walidacją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certyfikatów.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8. System musi oferować funkcję Web cache dla ograniczenia zużycia pasma.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9. System musi filtrować pliki na podstawie tak rozszerzeń jak i nagłówków MIME.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10. Rozwiązanie musi zapewniać filtrowanie plików </w:t>
      </w:r>
      <w:proofErr w:type="spellStart"/>
      <w:r>
        <w:rPr>
          <w:rFonts w:cs="Calibri"/>
        </w:rPr>
        <w:t>Activex</w:t>
      </w:r>
      <w:proofErr w:type="spellEnd"/>
      <w:r>
        <w:rPr>
          <w:rFonts w:cs="Calibri"/>
        </w:rPr>
        <w:t xml:space="preserve">, apletów , </w:t>
      </w:r>
      <w:proofErr w:type="spellStart"/>
      <w:r>
        <w:rPr>
          <w:rFonts w:cs="Calibri"/>
        </w:rPr>
        <w:t>cookies</w:t>
      </w:r>
      <w:proofErr w:type="spellEnd"/>
      <w:r>
        <w:rPr>
          <w:rFonts w:cs="Calibri"/>
        </w:rPr>
        <w:t>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11. System musi zapewniać możliwość emulacji skryptów JavaScript.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12. Rozwiązanie musi oferować możliwość filtrowania wyników wyszukiwania z użyciem </w:t>
      </w:r>
      <w:proofErr w:type="spellStart"/>
      <w:r>
        <w:rPr>
          <w:rFonts w:cs="Calibri"/>
        </w:rPr>
        <w:t>SafeSearch</w:t>
      </w:r>
      <w:proofErr w:type="spellEnd"/>
      <w:r>
        <w:rPr>
          <w:rFonts w:cs="Calibri"/>
        </w:rPr>
        <w:t>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13. Rozwiązanie musi zawierać przynajmniej 90 kategorii stron www i umożliwiać tworzenie własnych kategorii stron www.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14. Rozwiązanie musi zapewniać możliwość blokowanie wysyłania treści poprzez HTTP i HTTPS.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15. Rozwiązanie musi umożliwiać blokadę stron HTTPS.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16. Rozwiązanie musi blokować anonimowe </w:t>
      </w:r>
      <w:proofErr w:type="spellStart"/>
      <w:r>
        <w:rPr>
          <w:rFonts w:cs="Calibri"/>
        </w:rPr>
        <w:t>proxy</w:t>
      </w:r>
      <w:proofErr w:type="spellEnd"/>
      <w:r>
        <w:rPr>
          <w:rFonts w:cs="Calibri"/>
        </w:rPr>
        <w:t xml:space="preserve"> działające poprzez HTTP i HTTPS.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17. Rozwiązanie musi umożliwiać definiowanie polityk dostępu do Internetu w oparciu o harmonogramy dzienne/tygodniowe/miesięczne/roczne dla użytkowników i grup użytkowników.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18. System musi wyświetlać komunikat o przyczynie zablokowania dostępu do strony www. Administrator musi mieć możliwość edytowania treści komunikatu i dodania logo organizacji.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Ochrona i kontrola aplikacji: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1. Rozwiązanie musi oferować bazę danych opisująca, co najmniej 2 500 aplikacji.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2. Rozwiązanie musi zapewniać automatyczną aktualizację sygnatur aplikacji.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3. Rozwiązanie musi umożliwiać wykrywanie i kontrolę mikro-aplikacji.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4. Rozwiązanie musi identyfikować aplikacje niezależnie od wykorzystywanego portu, protokołu,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szyfrowania.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5. Rozwiązanie musi umożliwiać blokowanie: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- aplikacji, które pozwalają na transfer plików (np. P2P).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- komunikatorów internetowych, przynajmniej Skype, Gadu-gadu.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- </w:t>
      </w:r>
      <w:proofErr w:type="spellStart"/>
      <w:r>
        <w:rPr>
          <w:rFonts w:cs="Calibri"/>
        </w:rPr>
        <w:t>proxy</w:t>
      </w:r>
      <w:proofErr w:type="spellEnd"/>
      <w:r>
        <w:rPr>
          <w:rFonts w:cs="Calibri"/>
        </w:rPr>
        <w:t xml:space="preserve"> uruchamianych poprzez przeglądarki internetowe.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 xml:space="preserve">- streaming media (radio </w:t>
      </w:r>
      <w:proofErr w:type="spellStart"/>
      <w:r>
        <w:rPr>
          <w:rFonts w:cs="Calibri"/>
          <w:lang w:val="en-GB"/>
        </w:rPr>
        <w:t>internetowe</w:t>
      </w:r>
      <w:proofErr w:type="spellEnd"/>
      <w:r>
        <w:rPr>
          <w:rFonts w:cs="Calibri"/>
          <w:lang w:val="en-GB"/>
        </w:rPr>
        <w:t xml:space="preserve">, </w:t>
      </w:r>
      <w:proofErr w:type="spellStart"/>
      <w:r>
        <w:rPr>
          <w:rFonts w:cs="Calibri"/>
          <w:lang w:val="en-GB"/>
        </w:rPr>
        <w:t>Youtube</w:t>
      </w:r>
      <w:proofErr w:type="spellEnd"/>
      <w:r>
        <w:rPr>
          <w:rFonts w:cs="Calibri"/>
          <w:lang w:val="en-GB"/>
        </w:rPr>
        <w:t>, Vimeo).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6. Rozwiązanie musi umożliwiać szczegółową kontrolę dostępu do Facebooka, przynajmniej na poziomie zamieszczania postów, chatu, uruchamiania aplikacji, uruchamiania gier, </w:t>
      </w:r>
      <w:proofErr w:type="spellStart"/>
      <w:r>
        <w:rPr>
          <w:rFonts w:cs="Calibri"/>
        </w:rPr>
        <w:t>upload</w:t>
      </w:r>
      <w:proofErr w:type="spellEnd"/>
      <w:r>
        <w:rPr>
          <w:rFonts w:cs="Calibri"/>
        </w:rPr>
        <w:t xml:space="preserve"> plików graficznych i wideo.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Kształtowanie pasma dla Web i Aplikacji: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1. Rozwiązanie musi oferować funkcjonalność pozwalająca na kształtowanie pasma per kategoria stron lub per aplikacja celem ograniczenia lub zagwarantowania odpowiedniego pasma w kierunku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proofErr w:type="spellStart"/>
      <w:r>
        <w:rPr>
          <w:rFonts w:cs="Calibri"/>
        </w:rPr>
        <w:t>upload</w:t>
      </w:r>
      <w:proofErr w:type="spellEnd"/>
      <w:r>
        <w:rPr>
          <w:rFonts w:cs="Calibri"/>
        </w:rPr>
        <w:t>/</w:t>
      </w:r>
      <w:proofErr w:type="spellStart"/>
      <w:r>
        <w:rPr>
          <w:rFonts w:cs="Calibri"/>
        </w:rPr>
        <w:t>download</w:t>
      </w:r>
      <w:proofErr w:type="spellEnd"/>
      <w:r>
        <w:rPr>
          <w:rFonts w:cs="Calibri"/>
        </w:rPr>
        <w:t>/łącznie.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2. Rozwiązanie musi zapewniać możliwość nadawania priorytetów dla określonego typu ruchu.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3. Rozwiązanie musi oferować możliwość gwarantowania pasma w trybie indywidualnym oraz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współdzielonym.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OCHRONA I KONTROLA EMAIL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Ochrona i kontrola Email: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1. Rozwiązanie musi oferować możliwość wyboru trybu pracy: Transparent Email Proxy lub Mail Transfer Agent.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2. System musi umożliwiać inspekcję komunikacji email realizowanej przy użyciu protokołów SMTP, SMTPS, POP3, POP3S, IMAP, IMAPS.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3. Rozwiązanie musi zapewniać ochronę przed spamem i szkodliwym oprogramowaniem w trakcie transakcji SMTP.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4. System musi umożliwiać uruchomienie drugiego niezależnego silnika antywirusowego.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5. Rozwiązanie musi automatyczne odpytywać bazy producenta w trybie rzeczywistym.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6. Rozwiązanie musi zapewniać automatyczną aktualizację sygnatur zagrożeń.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7. System musi zapewniać wykrywanie, blokowanie i skanowanie załączników.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8. Rozwiązanie musi umożliwiać akceptowanie lub odrzucanie wiadomości przekraczających określony przez administratora rozmiar.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9. System musi wykrywać próby </w:t>
      </w:r>
      <w:proofErr w:type="spellStart"/>
      <w:r>
        <w:rPr>
          <w:rFonts w:cs="Calibri"/>
        </w:rPr>
        <w:t>phishingu</w:t>
      </w:r>
      <w:proofErr w:type="spellEnd"/>
      <w:r>
        <w:rPr>
          <w:rFonts w:cs="Calibri"/>
        </w:rPr>
        <w:t xml:space="preserve"> przez analizę adresów URL zamieszczanych w treści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wiadomości.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10. Rozwiązanie musi oferować ochronę przed wyciekiem danych (DLP) na podstawie predefiniowanych wzorców lub kryteriów zdefiniowanych przez administratora.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11. System musi oferować mechanizm analizy ruchu szyfrowanego TLS dla SMTP, POP oraz IMAP.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12. Rozwiązanie musi umożliwiać dodanie stopki do każdej wiadomości wychodzącej.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13. Rozwiązanie musi umożliwiać archiwizowanie wiadomości email.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14. Rozwiązanie musi współpracować, z co najmniej dwoma bazami RBL.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15. Rozwiązanie musi umożliwiać tworzenie białych i czarnych list adresów IP i email.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16. Rozwiązanie musi zapewniać wykrywanie spamu niezależnie od stosowanego języka.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17. Rozwiązanie musi blokować spam w postaci plików graficznych np. wiadomości z tekstem osadzonym w obrazku.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Kwarantanna Email: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1. System musi zapewniać wbudowany system kwarantanny dla wiadomości sklasyfikowanych jako spam z opcją powiadamiania użytkownika.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2. System musi zapewniać wbudowany system kwarantanny dla wiadomości sklasyfikowanych jako zainfekowane przez </w:t>
      </w:r>
      <w:proofErr w:type="spellStart"/>
      <w:r>
        <w:rPr>
          <w:rFonts w:cs="Calibri"/>
        </w:rPr>
        <w:t>malware</w:t>
      </w:r>
      <w:proofErr w:type="spellEnd"/>
      <w:r>
        <w:rPr>
          <w:rFonts w:cs="Calibri"/>
        </w:rPr>
        <w:t>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3. Rozwiązanie musi zapewniać możliwość przeglądania kwarantanny z opcją wyszukiwania wiadomości i opcjami filtrowania po dacie, nadawcy, odbiorcy, temacie wraz z opcją zwalniania lub usuwania wiadomości z kwarantanny (przez samoobsługowy portal użytkownika).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OCHRONA SERWERÓW APLIKACYJNYCH WEB</w:t>
      </w:r>
      <w:r w:rsidR="00D81321">
        <w:rPr>
          <w:rFonts w:cs="Calibri"/>
        </w:rPr>
        <w:t xml:space="preserve"> (wymagania obowiązkowe)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WAF: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1. Dodatkowy moduł ochrony klasy Web Application Firewall.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2. Funkcjonalność oparta o mechanizm </w:t>
      </w:r>
      <w:proofErr w:type="spellStart"/>
      <w:r>
        <w:rPr>
          <w:rFonts w:cs="Calibri"/>
        </w:rPr>
        <w:t>Reverse</w:t>
      </w:r>
      <w:proofErr w:type="spellEnd"/>
      <w:r>
        <w:rPr>
          <w:rFonts w:cs="Calibri"/>
        </w:rPr>
        <w:t xml:space="preserve"> Proxy.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 xml:space="preserve">3. </w:t>
      </w:r>
      <w:proofErr w:type="spellStart"/>
      <w:r>
        <w:rPr>
          <w:rFonts w:cs="Calibri"/>
          <w:lang w:val="en-GB"/>
        </w:rPr>
        <w:t>Rozwiązanie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musi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oferować</w:t>
      </w:r>
      <w:proofErr w:type="spellEnd"/>
      <w:r>
        <w:rPr>
          <w:rFonts w:cs="Calibri"/>
          <w:lang w:val="en-GB"/>
        </w:rPr>
        <w:t xml:space="preserve"> </w:t>
      </w:r>
      <w:proofErr w:type="spellStart"/>
      <w:r>
        <w:rPr>
          <w:rFonts w:cs="Calibri"/>
          <w:lang w:val="en-GB"/>
        </w:rPr>
        <w:t>mechanizm</w:t>
      </w:r>
      <w:proofErr w:type="spellEnd"/>
      <w:r>
        <w:rPr>
          <w:rFonts w:cs="Calibri"/>
          <w:lang w:val="en-GB"/>
        </w:rPr>
        <w:t xml:space="preserve"> URL hardening with deep-linking and directory traversal prevention.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4. Rozwiązanie musi oferować mechanizm Form </w:t>
      </w:r>
      <w:proofErr w:type="spellStart"/>
      <w:r>
        <w:rPr>
          <w:rFonts w:cs="Calibri"/>
        </w:rPr>
        <w:t>hardening</w:t>
      </w:r>
      <w:proofErr w:type="spellEnd"/>
      <w:r>
        <w:rPr>
          <w:rFonts w:cs="Calibri"/>
        </w:rPr>
        <w:t>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5. Rozwiązanie musi oferować ochronę przed SQL </w:t>
      </w:r>
      <w:proofErr w:type="spellStart"/>
      <w:r>
        <w:rPr>
          <w:rFonts w:cs="Calibri"/>
        </w:rPr>
        <w:t>injection</w:t>
      </w:r>
      <w:proofErr w:type="spellEnd"/>
      <w:r>
        <w:rPr>
          <w:rFonts w:cs="Calibri"/>
        </w:rPr>
        <w:t>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6. Rozwiązanie musi oferować ochronę przed Cross-</w:t>
      </w:r>
      <w:proofErr w:type="spellStart"/>
      <w:r>
        <w:rPr>
          <w:rFonts w:cs="Calibri"/>
        </w:rPr>
        <w:t>site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scripting</w:t>
      </w:r>
      <w:proofErr w:type="spellEnd"/>
      <w:r>
        <w:rPr>
          <w:rFonts w:cs="Calibri"/>
        </w:rPr>
        <w:t>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7. System musi zapewniać inspekcję ruchu HTTP oraz HTTPS (SSL).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8. System musi umożliwiać uruchomienie drugiego niezależnego silnika antywirusowego.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9. System musi pozwalać na podpisywanie plików </w:t>
      </w:r>
      <w:proofErr w:type="spellStart"/>
      <w:r>
        <w:rPr>
          <w:rFonts w:cs="Calibri"/>
        </w:rPr>
        <w:t>cookies</w:t>
      </w:r>
      <w:proofErr w:type="spellEnd"/>
      <w:r>
        <w:rPr>
          <w:rFonts w:cs="Calibri"/>
        </w:rPr>
        <w:t>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10. Rozwiązanie musi oferować wsparcie dla </w:t>
      </w:r>
      <w:proofErr w:type="spellStart"/>
      <w:r>
        <w:rPr>
          <w:rFonts w:cs="Calibri"/>
        </w:rPr>
        <w:t>Path-based</w:t>
      </w:r>
      <w:proofErr w:type="spellEnd"/>
      <w:r>
        <w:rPr>
          <w:rFonts w:cs="Calibri"/>
        </w:rPr>
        <w:t xml:space="preserve"> routing.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11. Rozwiązanie musi oferować wsparcie dla Outlook </w:t>
      </w:r>
      <w:proofErr w:type="spellStart"/>
      <w:r>
        <w:rPr>
          <w:rFonts w:cs="Calibri"/>
        </w:rPr>
        <w:t>Anywhere</w:t>
      </w:r>
      <w:proofErr w:type="spellEnd"/>
      <w:r>
        <w:rPr>
          <w:rFonts w:cs="Calibri"/>
        </w:rPr>
        <w:t>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12. </w:t>
      </w:r>
      <w:r w:rsidR="00D81321">
        <w:rPr>
          <w:rFonts w:cs="Calibri"/>
        </w:rPr>
        <w:t>Rozwiązanie musi oferować m</w:t>
      </w:r>
      <w:r>
        <w:rPr>
          <w:rFonts w:cs="Calibri"/>
        </w:rPr>
        <w:t xml:space="preserve">echanizm </w:t>
      </w:r>
      <w:proofErr w:type="spellStart"/>
      <w:r>
        <w:rPr>
          <w:rFonts w:cs="Calibri"/>
        </w:rPr>
        <w:t>Reverse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authentication</w:t>
      </w:r>
      <w:proofErr w:type="spellEnd"/>
      <w:r>
        <w:rPr>
          <w:rFonts w:cs="Calibri"/>
        </w:rPr>
        <w:t xml:space="preserve"> z automatycznym dodawaniem </w:t>
      </w:r>
      <w:proofErr w:type="spellStart"/>
      <w:r>
        <w:rPr>
          <w:rFonts w:cs="Calibri"/>
        </w:rPr>
        <w:t>prefixu</w:t>
      </w:r>
      <w:proofErr w:type="spellEnd"/>
      <w:r>
        <w:rPr>
          <w:rFonts w:cs="Calibri"/>
        </w:rPr>
        <w:t xml:space="preserve"> lub </w:t>
      </w:r>
      <w:proofErr w:type="spellStart"/>
      <w:r>
        <w:rPr>
          <w:rFonts w:cs="Calibri"/>
        </w:rPr>
        <w:t>suffixu</w:t>
      </w:r>
      <w:proofErr w:type="spellEnd"/>
      <w:r>
        <w:rPr>
          <w:rFonts w:cs="Calibri"/>
        </w:rPr>
        <w:t xml:space="preserve"> w trakcie autoryzacji użytkownika.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13. Rozwiązanie musi umożliwiać publikowanie aplikacji web w Internecie na zasadzie wirtualnych serwerów aplikacyjnych.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14. Rozwiązanie musi oferować mechanizm rozkładający ruch odwiedzających między rzeczywiste serwery aplikacyjne (</w:t>
      </w:r>
      <w:proofErr w:type="spellStart"/>
      <w:r>
        <w:rPr>
          <w:rFonts w:cs="Calibri"/>
        </w:rPr>
        <w:t>Load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Balancing</w:t>
      </w:r>
      <w:proofErr w:type="spellEnd"/>
      <w:r>
        <w:rPr>
          <w:rFonts w:cs="Calibri"/>
        </w:rPr>
        <w:t>).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15. System musi umożliwiać stosowania masek typu </w:t>
      </w:r>
      <w:proofErr w:type="spellStart"/>
      <w:r>
        <w:rPr>
          <w:rFonts w:cs="Calibri"/>
        </w:rPr>
        <w:t>wildcard</w:t>
      </w:r>
      <w:proofErr w:type="spellEnd"/>
      <w:r>
        <w:rPr>
          <w:rFonts w:cs="Calibri"/>
        </w:rPr>
        <w:t xml:space="preserve"> dla ścieżek dostępowych.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16. System musi umożliwiać stosowanie operatorów logicznych AND/OR.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OCHRONA PRZED EXPLOITAMI I ZAGROŻENIAMI ZERO-DAY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On-</w:t>
      </w:r>
      <w:proofErr w:type="spellStart"/>
      <w:r>
        <w:rPr>
          <w:rFonts w:cs="Calibri"/>
        </w:rPr>
        <w:t>cloud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Sandboxing</w:t>
      </w:r>
      <w:proofErr w:type="spellEnd"/>
      <w:r>
        <w:rPr>
          <w:rFonts w:cs="Calibri"/>
        </w:rPr>
        <w:t>: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1. Rozwiązanie musi posiadać możliwość rozbudowy o dodatkowy moduł ochrony klasy on-</w:t>
      </w:r>
      <w:proofErr w:type="spellStart"/>
      <w:r>
        <w:rPr>
          <w:rFonts w:cs="Calibri"/>
        </w:rPr>
        <w:t>cloud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Sanbox</w:t>
      </w:r>
      <w:proofErr w:type="spellEnd"/>
      <w:r>
        <w:rPr>
          <w:rFonts w:cs="Calibri"/>
        </w:rPr>
        <w:t xml:space="preserve"> umożliwiający dodatkową inspekcję plików wykonywalnych w tym .exe, .com, .</w:t>
      </w:r>
      <w:proofErr w:type="spellStart"/>
      <w:r>
        <w:rPr>
          <w:rFonts w:cs="Calibri"/>
        </w:rPr>
        <w:t>dll</w:t>
      </w:r>
      <w:proofErr w:type="spellEnd"/>
      <w:r>
        <w:rPr>
          <w:rFonts w:cs="Calibri"/>
        </w:rPr>
        <w:t>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2. Rozwiązanie musi umożliwiać dodatkową inspekcję plików dokumentów w tym .</w:t>
      </w:r>
      <w:proofErr w:type="spellStart"/>
      <w:r>
        <w:rPr>
          <w:rFonts w:cs="Calibri"/>
        </w:rPr>
        <w:t>doc</w:t>
      </w:r>
      <w:proofErr w:type="spellEnd"/>
      <w:r>
        <w:rPr>
          <w:rFonts w:cs="Calibri"/>
        </w:rPr>
        <w:t>, .</w:t>
      </w:r>
      <w:proofErr w:type="spellStart"/>
      <w:r>
        <w:rPr>
          <w:rFonts w:cs="Calibri"/>
        </w:rPr>
        <w:t>docx</w:t>
      </w:r>
      <w:proofErr w:type="spellEnd"/>
      <w:r>
        <w:rPr>
          <w:rFonts w:cs="Calibri"/>
        </w:rPr>
        <w:t>, .</w:t>
      </w:r>
      <w:proofErr w:type="spellStart"/>
      <w:r>
        <w:rPr>
          <w:rFonts w:cs="Calibri"/>
        </w:rPr>
        <w:t>docm</w:t>
      </w:r>
      <w:proofErr w:type="spellEnd"/>
      <w:r>
        <w:rPr>
          <w:rFonts w:cs="Calibri"/>
        </w:rPr>
        <w:t>, .rtf.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3. Rozwiązanie musi umożliwiać dodatkową inspekcję plików .pdf.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4. Rozwiązanie musi umożliwiać dodatkową inspekcję plików archiwów w tym: .zip, .</w:t>
      </w:r>
      <w:proofErr w:type="spellStart"/>
      <w:r>
        <w:rPr>
          <w:rFonts w:cs="Calibri"/>
        </w:rPr>
        <w:t>bzip</w:t>
      </w:r>
      <w:proofErr w:type="spellEnd"/>
      <w:r>
        <w:rPr>
          <w:rFonts w:cs="Calibri"/>
        </w:rPr>
        <w:t>, .</w:t>
      </w:r>
      <w:proofErr w:type="spellStart"/>
      <w:r>
        <w:rPr>
          <w:rFonts w:cs="Calibri"/>
        </w:rPr>
        <w:t>gzip</w:t>
      </w:r>
      <w:proofErr w:type="spellEnd"/>
      <w:r>
        <w:rPr>
          <w:rFonts w:cs="Calibri"/>
        </w:rPr>
        <w:t>, .</w:t>
      </w:r>
      <w:proofErr w:type="spellStart"/>
      <w:r>
        <w:rPr>
          <w:rFonts w:cs="Calibri"/>
        </w:rPr>
        <w:t>rar</w:t>
      </w:r>
      <w:proofErr w:type="spellEnd"/>
      <w:r>
        <w:rPr>
          <w:rFonts w:cs="Calibri"/>
        </w:rPr>
        <w:t>, .tar, .</w:t>
      </w:r>
      <w:proofErr w:type="spellStart"/>
      <w:r>
        <w:rPr>
          <w:rFonts w:cs="Calibri"/>
        </w:rPr>
        <w:t>lha</w:t>
      </w:r>
      <w:proofErr w:type="spellEnd"/>
      <w:r>
        <w:rPr>
          <w:rFonts w:cs="Calibri"/>
        </w:rPr>
        <w:t>, .</w:t>
      </w:r>
      <w:proofErr w:type="spellStart"/>
      <w:r>
        <w:rPr>
          <w:rFonts w:cs="Calibri"/>
        </w:rPr>
        <w:t>lhz</w:t>
      </w:r>
      <w:proofErr w:type="spellEnd"/>
      <w:r>
        <w:rPr>
          <w:rFonts w:cs="Calibri"/>
        </w:rPr>
        <w:t>, .7z, .</w:t>
      </w:r>
      <w:proofErr w:type="spellStart"/>
      <w:r>
        <w:rPr>
          <w:rFonts w:cs="Calibri"/>
        </w:rPr>
        <w:t>cab</w:t>
      </w:r>
      <w:proofErr w:type="spellEnd"/>
      <w:r>
        <w:rPr>
          <w:rFonts w:cs="Calibri"/>
        </w:rPr>
        <w:t>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5. System musi zapewniać dynamiczną analizę behawioralna kodu uruchamianego w realnych środowiskach testowych Windows i </w:t>
      </w:r>
      <w:proofErr w:type="spellStart"/>
      <w:r>
        <w:rPr>
          <w:rFonts w:cs="Calibri"/>
        </w:rPr>
        <w:t>MacOS</w:t>
      </w:r>
      <w:proofErr w:type="spellEnd"/>
      <w:r>
        <w:rPr>
          <w:rFonts w:cs="Calibri"/>
        </w:rPr>
        <w:t>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6. </w:t>
      </w:r>
      <w:r w:rsidR="00D81321">
        <w:rPr>
          <w:rFonts w:cs="Calibri"/>
        </w:rPr>
        <w:t>Rozwiązanie musi zawierać s</w:t>
      </w:r>
      <w:r>
        <w:rPr>
          <w:rFonts w:cs="Calibri"/>
        </w:rPr>
        <w:t>ystem ochrony ze średnim realnym czasem analizy kodu poniżej 120 sekund.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7. System musi oferować szczegółowe raporty wyników analizy.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LOGOWANIE I RAPORTOWANIE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1. System musi umożliwiać składowanie oraz archiwizację logów.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2. System musi gromadzić informacje o zdarzeniach dotyczących protokołów Web, FTP, IM, VPN, SSL VPN, wykorzystywanych aplikacjach sieciowych, wykrytych: atakach sieciowych, wirusach, zablokowanych aplikacjach sieciowych oraz musi powiązać wszystkie powyższe zdarzenia z nazwami użytkowników.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3. System musi zapewniać monitoring ryzyka związanego z działaniem aplikacji sieciowych uruchamianych przez użytkowników np. klasyfikując ryzyko wg. skali.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4. System musi zapewniać przeglądanie archiwalnych logów przy zastosowaniu funkcji filtrujących.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5. System musi zapewniać eksport zgromadzonych logów do zewnętrznych systemów składowania danych (długoterminowe przechowywanie danych).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6. Rozwiązanie musi umożliwiać wysyłanie raportów via email.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7. Rozwiązanie musi generować raporty w PDF, HTML i XLS.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8. Rozwiązanie musi oferować możliwość wysyłania logów systemowych, do co najmniej 3 serwerów </w:t>
      </w:r>
      <w:proofErr w:type="spellStart"/>
      <w:r>
        <w:rPr>
          <w:rFonts w:cs="Calibri"/>
        </w:rPr>
        <w:t>syslog</w:t>
      </w:r>
      <w:proofErr w:type="spellEnd"/>
      <w:r>
        <w:rPr>
          <w:rFonts w:cs="Calibri"/>
        </w:rPr>
        <w:t>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9. System musi zapewniać podgląd wykorzystania łącza internetowego w ujęciu dziennym, tygodniowym, miesięcznym lub rocznym dla wszystkich lub indywidualnego łącza.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10. System musi zapewniać podgląd w czasie rzeczywistym wykorzystania łącza i ilości wysyłanych danych w oparciu o użytkownika/adres IP lub aplikację.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11. Rozwiązanie musi oferować możliwość zanonimizowania danych w raportach.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12. System musi umożliwiać automatyczne tworzenie raportów według harmonogramów określonych przez administratora.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13. System musi pozwalać ustalić okres retencji danych dla poszczególnych kategorii informacji.</w:t>
      </w:r>
    </w:p>
    <w:p w:rsidR="00015314" w:rsidRDefault="00015314" w:rsidP="00015314">
      <w:pPr>
        <w:pStyle w:val="Standard"/>
        <w:spacing w:after="0" w:line="240" w:lineRule="auto"/>
        <w:jc w:val="both"/>
        <w:rPr>
          <w:rFonts w:cs="Calibri"/>
        </w:rPr>
      </w:pPr>
    </w:p>
    <w:p w:rsidR="00015314" w:rsidRDefault="00015314" w:rsidP="00015314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</w:pPr>
      <w:r>
        <w:t>Pozostałe.</w:t>
      </w:r>
    </w:p>
    <w:p w:rsidR="00015314" w:rsidRDefault="00015314" w:rsidP="0001531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405"/>
        <w:jc w:val="both"/>
      </w:pPr>
      <w:r>
        <w:t>Wsparcie techniczne do oprogramowania musi być prowadzone przez producenta w trybie 24 godziny przez 7 dni w tygodniu</w:t>
      </w:r>
      <w:r w:rsidR="00D81321">
        <w:t>, na okres 4 lat</w:t>
      </w:r>
      <w:r>
        <w:t>. W ramach wsparcia technicznego producent zobowiązany jest do dostarczania aktualizacji i poprawek oprogramowania dla wszystkich dostarczonych modułów.</w:t>
      </w:r>
    </w:p>
    <w:p w:rsidR="0023135F" w:rsidRPr="005D4E6D" w:rsidRDefault="0023135F" w:rsidP="005F7825">
      <w:pPr>
        <w:widowControl w:val="0"/>
        <w:spacing w:after="0" w:line="240" w:lineRule="auto"/>
        <w:ind w:left="2" w:hanging="2"/>
        <w:jc w:val="both"/>
      </w:pPr>
    </w:p>
    <w:p w:rsidR="0023135F" w:rsidRPr="005D4E6D" w:rsidRDefault="0023135F" w:rsidP="005F7825">
      <w:pPr>
        <w:spacing w:after="0" w:line="240" w:lineRule="auto"/>
        <w:jc w:val="both"/>
        <w:rPr>
          <w:b/>
          <w:bCs/>
          <w:shd w:val="clear" w:color="auto" w:fill="FFFF00"/>
        </w:rPr>
      </w:pPr>
    </w:p>
    <w:p w:rsidR="0023135F" w:rsidRPr="005D4E6D" w:rsidRDefault="00621B40" w:rsidP="00015314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>Zasady ustalania wynagrodzenia za wykonanie przedmiotu zamówienia</w:t>
      </w:r>
    </w:p>
    <w:p w:rsidR="0023135F" w:rsidRPr="005D4E6D" w:rsidRDefault="0023135F" w:rsidP="00015314">
      <w:pPr>
        <w:spacing w:after="0" w:line="240" w:lineRule="auto"/>
        <w:ind w:left="567"/>
        <w:jc w:val="both"/>
      </w:pPr>
    </w:p>
    <w:p w:rsidR="0023135F" w:rsidRPr="005D4E6D" w:rsidRDefault="00621B40" w:rsidP="00015314">
      <w:pPr>
        <w:spacing w:after="0" w:line="240" w:lineRule="auto"/>
        <w:ind w:left="567"/>
        <w:jc w:val="both"/>
      </w:pPr>
      <w:r w:rsidRPr="005D4E6D">
        <w:t xml:space="preserve">Wynagrodzenie obejmuje wszystkie elementy składowe </w:t>
      </w:r>
      <w:r w:rsidR="001D5C1C">
        <w:t>Szacowania</w:t>
      </w:r>
      <w:r w:rsidR="001D5C1C" w:rsidRPr="001D5C1C">
        <w:t xml:space="preserve"> wartości zamówienia</w:t>
      </w:r>
      <w:r w:rsidRPr="005D4E6D">
        <w:t>, płatne  jednorazowo p</w:t>
      </w:r>
      <w:r w:rsidR="00015314">
        <w:t>o podpisaniu protokołu odbioru.</w:t>
      </w:r>
    </w:p>
    <w:p w:rsidR="0023135F" w:rsidRDefault="0023135F" w:rsidP="005F7825">
      <w:pPr>
        <w:spacing w:after="0" w:line="240" w:lineRule="auto"/>
        <w:jc w:val="both"/>
        <w:rPr>
          <w:b/>
          <w:bCs/>
        </w:rPr>
      </w:pPr>
    </w:p>
    <w:p w:rsidR="00015314" w:rsidRDefault="00015314" w:rsidP="005F7825">
      <w:pPr>
        <w:spacing w:after="0" w:line="240" w:lineRule="auto"/>
        <w:jc w:val="both"/>
        <w:rPr>
          <w:b/>
          <w:bCs/>
        </w:rPr>
      </w:pPr>
    </w:p>
    <w:p w:rsidR="00015314" w:rsidRDefault="00015314" w:rsidP="005F7825">
      <w:pPr>
        <w:spacing w:after="0" w:line="240" w:lineRule="auto"/>
        <w:jc w:val="both"/>
        <w:rPr>
          <w:b/>
          <w:bCs/>
        </w:rPr>
      </w:pPr>
    </w:p>
    <w:p w:rsidR="00015314" w:rsidRPr="005D4E6D" w:rsidRDefault="00015314" w:rsidP="005F7825">
      <w:pPr>
        <w:spacing w:after="0" w:line="240" w:lineRule="auto"/>
        <w:jc w:val="both"/>
        <w:rPr>
          <w:b/>
          <w:bCs/>
        </w:rPr>
      </w:pPr>
    </w:p>
    <w:p w:rsidR="0023135F" w:rsidRDefault="00621B40" w:rsidP="005F7825">
      <w:pPr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>Miejsce dostawy przedmiotu zamówienia oraz wykonania pozostałych usług</w:t>
      </w:r>
    </w:p>
    <w:p w:rsidR="0023135F" w:rsidRPr="005D4E6D" w:rsidRDefault="0023135F" w:rsidP="005F7825">
      <w:pPr>
        <w:spacing w:after="0" w:line="240" w:lineRule="auto"/>
        <w:jc w:val="both"/>
        <w:rPr>
          <w:b/>
          <w:bCs/>
        </w:rPr>
      </w:pPr>
    </w:p>
    <w:p w:rsidR="00015314" w:rsidRPr="00015314" w:rsidRDefault="00987DDA" w:rsidP="00015314">
      <w:pPr>
        <w:pStyle w:val="Standard"/>
        <w:spacing w:after="240" w:line="240" w:lineRule="auto"/>
        <w:ind w:left="567"/>
        <w:jc w:val="both"/>
      </w:pPr>
      <w:r w:rsidRPr="005D4E6D">
        <w:rPr>
          <w:b/>
        </w:rPr>
        <w:t>Wyższa</w:t>
      </w:r>
      <w:r w:rsidR="00015314">
        <w:rPr>
          <w:b/>
        </w:rPr>
        <w:t xml:space="preserve"> </w:t>
      </w:r>
      <w:proofErr w:type="spellStart"/>
      <w:r w:rsidR="00015314">
        <w:rPr>
          <w:rFonts w:cs="Calibri"/>
          <w:b/>
        </w:rPr>
        <w:t>Wyższa</w:t>
      </w:r>
      <w:proofErr w:type="spellEnd"/>
      <w:r w:rsidR="00015314">
        <w:rPr>
          <w:rFonts w:cs="Calibri"/>
          <w:b/>
        </w:rPr>
        <w:t xml:space="preserve"> Szkoła Bankowa we Wrocławiu, </w:t>
      </w:r>
      <w:r w:rsidR="00015314">
        <w:rPr>
          <w:rFonts w:cs="Calibri"/>
        </w:rPr>
        <w:t>ul. Fabryczna 29-31; 53-609 Wrocław; budynek B, osoba do kontaktu: Marcin Pieleszek, marcin.pieleszek@gmail.com</w:t>
      </w:r>
    </w:p>
    <w:p w:rsidR="0023135F" w:rsidRPr="00015314" w:rsidRDefault="00621B40" w:rsidP="00015314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uto"/>
        <w:jc w:val="both"/>
        <w:rPr>
          <w:b/>
          <w:bCs/>
        </w:rPr>
      </w:pPr>
      <w:r w:rsidRPr="00015314">
        <w:rPr>
          <w:b/>
          <w:bCs/>
        </w:rPr>
        <w:t xml:space="preserve">Kod CPV: </w:t>
      </w:r>
    </w:p>
    <w:p w:rsidR="0023135F" w:rsidRPr="005D4E6D" w:rsidRDefault="00621B40" w:rsidP="005F7825">
      <w:pPr>
        <w:spacing w:after="0" w:line="240" w:lineRule="auto"/>
        <w:ind w:left="567"/>
        <w:jc w:val="both"/>
        <w:rPr>
          <w:rStyle w:val="Hyperlink1"/>
        </w:rPr>
      </w:pPr>
      <w:r w:rsidRPr="005D4E6D">
        <w:rPr>
          <w:rStyle w:val="Hyperlink1"/>
        </w:rPr>
        <w:t>K</w:t>
      </w:r>
      <w:r w:rsidR="00015314">
        <w:rPr>
          <w:rStyle w:val="Hyperlink1"/>
        </w:rPr>
        <w:t xml:space="preserve">od CPV: </w:t>
      </w:r>
      <w:r w:rsidR="00015314" w:rsidRPr="00194167">
        <w:rPr>
          <w:b/>
          <w:bCs/>
        </w:rPr>
        <w:t>48000000-8</w:t>
      </w:r>
      <w:r w:rsidR="00015314" w:rsidRPr="00194167">
        <w:rPr>
          <w:b/>
        </w:rPr>
        <w:t xml:space="preserve"> – Pakiety oprogramowania i systemy informatyczne</w:t>
      </w:r>
    </w:p>
    <w:p w:rsidR="00AF580B" w:rsidRPr="005D4E6D" w:rsidRDefault="00AF580B" w:rsidP="005F7825">
      <w:pPr>
        <w:spacing w:after="0" w:line="240" w:lineRule="auto"/>
        <w:ind w:firstLine="567"/>
        <w:jc w:val="both"/>
      </w:pPr>
    </w:p>
    <w:p w:rsidR="0023135F" w:rsidRPr="005D4E6D" w:rsidRDefault="00621B40" w:rsidP="005F7825">
      <w:pPr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 xml:space="preserve">Dodatkowe przedmioty zamówienia </w:t>
      </w:r>
    </w:p>
    <w:p w:rsidR="0023135F" w:rsidRPr="005D4E6D" w:rsidRDefault="00621B40" w:rsidP="005F7825">
      <w:pPr>
        <w:spacing w:after="0" w:line="240" w:lineRule="auto"/>
        <w:ind w:firstLine="567"/>
        <w:jc w:val="both"/>
      </w:pPr>
      <w:r w:rsidRPr="005D4E6D">
        <w:t>Zamawiający nie przewiduje dodatkowych przedmiotów zamówienia.</w:t>
      </w:r>
    </w:p>
    <w:p w:rsidR="0023135F" w:rsidRPr="005D4E6D" w:rsidRDefault="0023135F" w:rsidP="005F7825">
      <w:pPr>
        <w:spacing w:after="0" w:line="240" w:lineRule="auto"/>
        <w:jc w:val="both"/>
      </w:pPr>
    </w:p>
    <w:p w:rsidR="0023135F" w:rsidRPr="005D4E6D" w:rsidRDefault="00621B40" w:rsidP="005F7825">
      <w:pPr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 xml:space="preserve">Zamówienia uzupełniające </w:t>
      </w:r>
    </w:p>
    <w:p w:rsidR="0023135F" w:rsidRPr="005D4E6D" w:rsidRDefault="00621B40" w:rsidP="005F7825">
      <w:pPr>
        <w:spacing w:after="0" w:line="240" w:lineRule="auto"/>
        <w:ind w:left="567"/>
        <w:jc w:val="both"/>
        <w:rPr>
          <w:b/>
          <w:bCs/>
          <w:shd w:val="clear" w:color="auto" w:fill="FFFF00"/>
        </w:rPr>
      </w:pPr>
      <w:r w:rsidRPr="005D4E6D">
        <w:t>Zamawiający nie przewiduje zamówień uzupełniających</w:t>
      </w:r>
      <w:r w:rsidRPr="005D4E6D">
        <w:rPr>
          <w:rStyle w:val="Hyperlink1"/>
        </w:rPr>
        <w:t>.</w:t>
      </w:r>
    </w:p>
    <w:p w:rsidR="0023135F" w:rsidRPr="005D4E6D" w:rsidRDefault="0023135F" w:rsidP="005F7825">
      <w:pPr>
        <w:spacing w:after="0" w:line="240" w:lineRule="auto"/>
        <w:jc w:val="both"/>
        <w:rPr>
          <w:shd w:val="clear" w:color="auto" w:fill="FFFF00"/>
        </w:rPr>
      </w:pPr>
    </w:p>
    <w:p w:rsidR="0023135F" w:rsidRPr="005D4E6D" w:rsidRDefault="00621B40" w:rsidP="00015314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 xml:space="preserve">Terminy realizacji zamówienia </w:t>
      </w:r>
    </w:p>
    <w:p w:rsidR="00AF580B" w:rsidRPr="005D4E6D" w:rsidRDefault="00AF580B" w:rsidP="0017754E">
      <w:pPr>
        <w:spacing w:after="0" w:line="240" w:lineRule="auto"/>
        <w:jc w:val="both"/>
      </w:pPr>
      <w:r w:rsidRPr="005D4E6D">
        <w:tab/>
      </w:r>
    </w:p>
    <w:p w:rsidR="0023135F" w:rsidRPr="005D4E6D" w:rsidRDefault="00621B40" w:rsidP="005F7825">
      <w:pPr>
        <w:spacing w:after="0" w:line="240" w:lineRule="auto"/>
        <w:ind w:left="567"/>
        <w:jc w:val="both"/>
      </w:pPr>
      <w:r w:rsidRPr="005D4E6D">
        <w:t>Harmonogram realizacji zamówienia:</w:t>
      </w:r>
    </w:p>
    <w:p w:rsidR="00496270" w:rsidRPr="00D1602C" w:rsidRDefault="00496270" w:rsidP="00496270">
      <w:pPr>
        <w:spacing w:after="0" w:line="240" w:lineRule="auto"/>
        <w:jc w:val="both"/>
      </w:pPr>
      <w:r>
        <w:t xml:space="preserve">           </w:t>
      </w:r>
      <w:r w:rsidRPr="00D1602C">
        <w:t>1. Wykonawca zobowiązuje się dostarczyć przedmiot zamówienia w terminie do 24.08.2018 r.</w:t>
      </w:r>
    </w:p>
    <w:p w:rsidR="00496270" w:rsidRDefault="00496270" w:rsidP="00496270">
      <w:pPr>
        <w:spacing w:after="0" w:line="240" w:lineRule="auto"/>
        <w:ind w:left="567"/>
        <w:jc w:val="both"/>
      </w:pPr>
      <w:r w:rsidRPr="00D1602C">
        <w:t>2. Za termin wykonania przedmiotu zamówienia uważa się jego dostarczenie do siedziby Zamawiającego  oraz uruchomienie i skonfigurowanie oprogramowania w ramach posiadanej przez Zamawiającego infrastruktury.</w:t>
      </w:r>
    </w:p>
    <w:p w:rsidR="00D90AA8" w:rsidRPr="00D1602C" w:rsidRDefault="00D90AA8" w:rsidP="00496270">
      <w:pPr>
        <w:spacing w:after="0" w:line="240" w:lineRule="auto"/>
        <w:ind w:left="567"/>
        <w:jc w:val="both"/>
      </w:pPr>
      <w:r>
        <w:t>3. Wsparcie techniczne opisane w punkcie 2.2. Szacowania wartości zamówienia,</w:t>
      </w:r>
      <w:bookmarkStart w:id="0" w:name="_GoBack"/>
      <w:bookmarkEnd w:id="0"/>
      <w:r>
        <w:t xml:space="preserve"> będzie obejmowało czteroletni okres trwania licencji na zakupione oprogramowanie. </w:t>
      </w:r>
    </w:p>
    <w:p w:rsidR="0023135F" w:rsidRPr="005D4E6D" w:rsidRDefault="0023135F" w:rsidP="005F7825">
      <w:pPr>
        <w:spacing w:after="0" w:line="240" w:lineRule="auto"/>
        <w:ind w:left="567"/>
        <w:jc w:val="both"/>
        <w:rPr>
          <w:shd w:val="clear" w:color="auto" w:fill="FFFF00"/>
        </w:rPr>
      </w:pPr>
    </w:p>
    <w:p w:rsidR="0023135F" w:rsidRPr="005D4E6D" w:rsidRDefault="00496270" w:rsidP="00015314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="00621B40" w:rsidRPr="005D4E6D">
        <w:rPr>
          <w:b/>
          <w:bCs/>
        </w:rPr>
        <w:t>Warunki udziału w postępowaniu</w:t>
      </w:r>
    </w:p>
    <w:p w:rsidR="0023135F" w:rsidRPr="00496270" w:rsidRDefault="00496270" w:rsidP="0049627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  </w:t>
      </w:r>
      <w:r w:rsidR="00621B40" w:rsidRPr="00496270">
        <w:rPr>
          <w:b/>
          <w:bCs/>
        </w:rPr>
        <w:t>Uprawnienia do wykonania określonej działalności lub czynności</w:t>
      </w:r>
    </w:p>
    <w:p w:rsidR="0023135F" w:rsidRPr="005D4E6D" w:rsidRDefault="0023135F" w:rsidP="005F7825">
      <w:pPr>
        <w:spacing w:after="0" w:line="240" w:lineRule="auto"/>
        <w:ind w:left="644"/>
        <w:jc w:val="both"/>
      </w:pPr>
    </w:p>
    <w:p w:rsidR="0023135F" w:rsidRPr="005D4E6D" w:rsidRDefault="00621B40" w:rsidP="005F7825">
      <w:pPr>
        <w:spacing w:after="0" w:line="240" w:lineRule="auto"/>
        <w:ind w:left="644"/>
        <w:jc w:val="both"/>
      </w:pPr>
      <w:r w:rsidRPr="005D4E6D">
        <w:t>W postępowaniu mogą wziąć udział Wykonawcy, którzy spełniają niżej wymienione warunki udziału w postępowaniu.</w:t>
      </w:r>
    </w:p>
    <w:p w:rsidR="0023135F" w:rsidRPr="005D4E6D" w:rsidRDefault="0023135F" w:rsidP="005F7825">
      <w:pPr>
        <w:spacing w:after="0" w:line="240" w:lineRule="auto"/>
        <w:jc w:val="both"/>
      </w:pPr>
    </w:p>
    <w:p w:rsidR="0023135F" w:rsidRPr="005D4E6D" w:rsidRDefault="00621B40" w:rsidP="00015314">
      <w:pPr>
        <w:pStyle w:val="Akapitzlist"/>
        <w:numPr>
          <w:ilvl w:val="1"/>
          <w:numId w:val="6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 xml:space="preserve">Sytuacja ekonomiczna i finansowa </w:t>
      </w:r>
    </w:p>
    <w:p w:rsidR="0023135F" w:rsidRPr="005D4E6D" w:rsidRDefault="0023135F" w:rsidP="005F7825">
      <w:pPr>
        <w:pStyle w:val="Akapitzlist"/>
        <w:spacing w:after="0" w:line="240" w:lineRule="auto"/>
        <w:jc w:val="both"/>
        <w:rPr>
          <w:b/>
          <w:bCs/>
        </w:rPr>
      </w:pPr>
    </w:p>
    <w:p w:rsidR="0023135F" w:rsidRPr="005D4E6D" w:rsidRDefault="00621B40" w:rsidP="005F7825">
      <w:pPr>
        <w:pStyle w:val="Akapitzlist"/>
        <w:spacing w:after="0" w:line="240" w:lineRule="auto"/>
        <w:ind w:left="644"/>
        <w:jc w:val="both"/>
      </w:pPr>
      <w:r w:rsidRPr="005D4E6D">
        <w:t>Wykonawca znajduje się w sytuacji ekonomicznej i finansowej zapewniającej terminowe wykonanie przedmiotu zamówienia.</w:t>
      </w:r>
    </w:p>
    <w:p w:rsidR="0023135F" w:rsidRPr="005D4E6D" w:rsidRDefault="00621B40" w:rsidP="005F7825">
      <w:pPr>
        <w:pStyle w:val="Akapitzlist"/>
        <w:spacing w:after="0" w:line="259" w:lineRule="auto"/>
        <w:ind w:left="0" w:firstLine="644"/>
        <w:jc w:val="both"/>
      </w:pPr>
      <w:r w:rsidRPr="005D4E6D">
        <w:t>Wykonawca nie znajdują się w stanie likwidacji ani nie jego ogłoszono upadłości.</w:t>
      </w:r>
    </w:p>
    <w:p w:rsidR="0023135F" w:rsidRPr="005D4E6D" w:rsidRDefault="00621B40" w:rsidP="005F7825">
      <w:pPr>
        <w:pStyle w:val="Akapitzlist"/>
        <w:spacing w:after="0" w:line="259" w:lineRule="auto"/>
        <w:ind w:left="708" w:hanging="62"/>
        <w:jc w:val="both"/>
      </w:pPr>
      <w:r w:rsidRPr="005D4E6D">
        <w:t xml:space="preserve">Wykonawca nie zalega z uiszczeniem podatków, opłat oraz składek na ubezpieczenia </w:t>
      </w:r>
    </w:p>
    <w:p w:rsidR="0023135F" w:rsidRPr="005D4E6D" w:rsidRDefault="00621B40" w:rsidP="005F7825">
      <w:pPr>
        <w:pStyle w:val="Akapitzlist"/>
        <w:spacing w:after="0" w:line="259" w:lineRule="auto"/>
        <w:ind w:left="708" w:hanging="62"/>
        <w:jc w:val="both"/>
      </w:pPr>
      <w:r w:rsidRPr="005D4E6D">
        <w:t>społeczne i zdrowotne.</w:t>
      </w:r>
    </w:p>
    <w:p w:rsidR="0023135F" w:rsidRPr="005D4E6D" w:rsidRDefault="0023135F" w:rsidP="005F7825">
      <w:pPr>
        <w:pStyle w:val="Akapitzlist"/>
        <w:spacing w:after="0" w:line="259" w:lineRule="auto"/>
        <w:ind w:left="709" w:hanging="65"/>
        <w:jc w:val="both"/>
        <w:rPr>
          <w:shd w:val="clear" w:color="auto" w:fill="FFFF00"/>
        </w:rPr>
      </w:pPr>
    </w:p>
    <w:p w:rsidR="0023135F" w:rsidRPr="005D4E6D" w:rsidRDefault="00621B40" w:rsidP="00015314">
      <w:pPr>
        <w:pStyle w:val="Akapitzlist"/>
        <w:numPr>
          <w:ilvl w:val="1"/>
          <w:numId w:val="6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>Dodatkowe warunki:</w:t>
      </w:r>
    </w:p>
    <w:p w:rsidR="0068313E" w:rsidRDefault="0068313E" w:rsidP="00890E42">
      <w:pPr>
        <w:pStyle w:val="Akapitzlist"/>
        <w:spacing w:after="160" w:line="240" w:lineRule="auto"/>
        <w:ind w:left="709"/>
        <w:jc w:val="both"/>
        <w:rPr>
          <w:b/>
        </w:rPr>
      </w:pPr>
      <w:r>
        <w:t xml:space="preserve">Wykonawca przestawi pisemne referencje od klienta, u którego została wykonana instalacja i </w:t>
      </w:r>
      <w:r w:rsidR="00890E42">
        <w:t xml:space="preserve">  </w:t>
      </w:r>
      <w:r>
        <w:t>konfiguracja narzędzia o parametrach technicznych i funkcj</w:t>
      </w:r>
      <w:r w:rsidR="00D81321">
        <w:t>onalnych wskazanych w Szacowaniu wartości zamówienia</w:t>
      </w:r>
      <w:r>
        <w:t xml:space="preserve"> oraz zadeklaruje możliwość organizacji wizyty (lub telekonferencji) referencyjnej u </w:t>
      </w:r>
      <w:r w:rsidR="00890E42">
        <w:t xml:space="preserve"> </w:t>
      </w:r>
      <w:r>
        <w:t>klienta który wystawił referencje.</w:t>
      </w:r>
    </w:p>
    <w:p w:rsidR="00E93920" w:rsidRPr="005D4E6D" w:rsidRDefault="00E93920" w:rsidP="005F7825">
      <w:pPr>
        <w:pStyle w:val="Akapitzlist"/>
        <w:spacing w:after="0" w:line="240" w:lineRule="auto"/>
        <w:ind w:left="567"/>
        <w:jc w:val="both"/>
        <w:rPr>
          <w:b/>
          <w:bCs/>
        </w:rPr>
      </w:pPr>
    </w:p>
    <w:p w:rsidR="0023135F" w:rsidRPr="005D4E6D" w:rsidRDefault="00890E42" w:rsidP="00015314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="00621B40" w:rsidRPr="005D4E6D">
        <w:rPr>
          <w:b/>
          <w:bCs/>
        </w:rPr>
        <w:t>Sposób dokonania oceny spełnienia warunków  udziału w postępowaniu</w:t>
      </w:r>
    </w:p>
    <w:p w:rsidR="0023135F" w:rsidRPr="005D4E6D" w:rsidRDefault="0023135F" w:rsidP="005F7825">
      <w:pPr>
        <w:spacing w:after="0" w:line="240" w:lineRule="auto"/>
        <w:jc w:val="both"/>
      </w:pPr>
    </w:p>
    <w:p w:rsidR="0023135F" w:rsidRPr="005D4E6D" w:rsidRDefault="00621B40" w:rsidP="00890E42">
      <w:pPr>
        <w:spacing w:after="0" w:line="240" w:lineRule="auto"/>
        <w:ind w:left="709"/>
        <w:jc w:val="both"/>
      </w:pPr>
      <w:r w:rsidRPr="005D4E6D">
        <w:lastRenderedPageBreak/>
        <w:t xml:space="preserve">Ocena spełnienia warunków udziału w postępowaniu przeprowadzona zostanie w oparciu o podpisane przez Wykonawcę oświadczenie o spełnieniu wymagań Zamawiającego określonych w załączniku nr 1 do </w:t>
      </w:r>
      <w:r w:rsidR="00B77B73" w:rsidRPr="00B77B73">
        <w:t xml:space="preserve">Szacowania wartości zamówienia </w:t>
      </w:r>
      <w:r w:rsidRPr="005D4E6D">
        <w:t xml:space="preserve">oraz dokumentów wymienionych w pkt. </w:t>
      </w:r>
      <w:r w:rsidR="00B77B73">
        <w:t>7</w:t>
      </w:r>
      <w:r w:rsidR="00F27615">
        <w:t>.</w:t>
      </w:r>
    </w:p>
    <w:p w:rsidR="0023135F" w:rsidRPr="005D4E6D" w:rsidRDefault="0023135F" w:rsidP="005F7825">
      <w:pPr>
        <w:spacing w:after="0" w:line="240" w:lineRule="auto"/>
        <w:jc w:val="both"/>
      </w:pPr>
    </w:p>
    <w:p w:rsidR="0023135F" w:rsidRPr="005D4E6D" w:rsidRDefault="00621B40" w:rsidP="005F7825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>Wykluczenia z udziału w postępowaniu</w:t>
      </w:r>
    </w:p>
    <w:p w:rsidR="0023135F" w:rsidRPr="005D4E6D" w:rsidRDefault="0023135F" w:rsidP="005F7825">
      <w:pPr>
        <w:pStyle w:val="Akapitzlist"/>
        <w:spacing w:after="0" w:line="240" w:lineRule="auto"/>
        <w:ind w:left="567"/>
        <w:jc w:val="both"/>
        <w:rPr>
          <w:b/>
          <w:bCs/>
        </w:rPr>
      </w:pPr>
    </w:p>
    <w:p w:rsidR="0023135F" w:rsidRPr="005D4E6D" w:rsidRDefault="00621B40" w:rsidP="005F7825">
      <w:pPr>
        <w:pStyle w:val="Akapitzlist"/>
        <w:spacing w:after="0" w:line="240" w:lineRule="auto"/>
        <w:ind w:left="567"/>
        <w:jc w:val="both"/>
      </w:pPr>
      <w:r w:rsidRPr="005D4E6D">
        <w:t>W  celu uniknięcia konfliktu interesów, zamówienie nie może być udzielane podmiotom powiązanym osobowo lub kapitałowo z Zamawiającym tj. Wyższą Szkołą Bankową we Wrocławiu. Przez powiązania kapitałowe lub osobowe rozumie się wzajemne powiązania między Zamawiającym tj. Wyższą Szkołą Bankową we Wrocławiu lub osobami upoważnionymi do zaciągania zobowiązań w imieniu Zamawiającego tj. Wyższej Szkoły Bankowej we Wrocławiu lub osobami wykonującymi w imieniu Zamawiającego tj. Wyższej Szkoły Bankowej we Wrocławiu czynności związanych z przeprowadzeniem procedury wyboru Wykonawcy, a Wykonawcą. Przez powiązania kapitałowe lub osobowe rozumie się w szczególności:</w:t>
      </w:r>
    </w:p>
    <w:p w:rsidR="0023135F" w:rsidRPr="005D4E6D" w:rsidRDefault="00621B40" w:rsidP="00015314">
      <w:pPr>
        <w:pStyle w:val="Akapitzlist"/>
        <w:numPr>
          <w:ilvl w:val="1"/>
          <w:numId w:val="9"/>
        </w:numPr>
        <w:spacing w:after="0" w:line="240" w:lineRule="auto"/>
        <w:jc w:val="both"/>
      </w:pPr>
      <w:r w:rsidRPr="005D4E6D">
        <w:t>uczestniczenie w spółce jako wspólnik spółki cywilnej lub spółki osobowej,</w:t>
      </w:r>
    </w:p>
    <w:p w:rsidR="0023135F" w:rsidRPr="005D4E6D" w:rsidRDefault="00621B40" w:rsidP="00015314">
      <w:pPr>
        <w:pStyle w:val="Akapitzlist"/>
        <w:numPr>
          <w:ilvl w:val="1"/>
          <w:numId w:val="9"/>
        </w:numPr>
        <w:spacing w:after="0" w:line="240" w:lineRule="auto"/>
        <w:jc w:val="both"/>
      </w:pPr>
      <w:r w:rsidRPr="005D4E6D">
        <w:t>posiadanie co najmniej 10% udziałów lub akcji,</w:t>
      </w:r>
    </w:p>
    <w:p w:rsidR="0023135F" w:rsidRPr="005D4E6D" w:rsidRDefault="00621B40" w:rsidP="00015314">
      <w:pPr>
        <w:pStyle w:val="Akapitzlist"/>
        <w:numPr>
          <w:ilvl w:val="1"/>
          <w:numId w:val="9"/>
        </w:numPr>
        <w:spacing w:after="0" w:line="240" w:lineRule="auto"/>
        <w:jc w:val="both"/>
      </w:pPr>
      <w:r w:rsidRPr="005D4E6D">
        <w:t>pełnienie funkcji członka organu nadzorczego lub zarządzającego, prokurenta, pełnomocnika, </w:t>
      </w:r>
    </w:p>
    <w:p w:rsidR="0023135F" w:rsidRPr="005D4E6D" w:rsidRDefault="00621B40" w:rsidP="00015314">
      <w:pPr>
        <w:pStyle w:val="Akapitzlist"/>
        <w:numPr>
          <w:ilvl w:val="1"/>
          <w:numId w:val="9"/>
        </w:numPr>
        <w:spacing w:after="0" w:line="240" w:lineRule="auto"/>
        <w:jc w:val="both"/>
      </w:pPr>
      <w:r w:rsidRPr="005D4E6D"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23135F" w:rsidRPr="005D4E6D" w:rsidRDefault="0023135F" w:rsidP="005F7825">
      <w:pPr>
        <w:pStyle w:val="Akapitzlist"/>
        <w:spacing w:after="0" w:line="240" w:lineRule="auto"/>
        <w:ind w:left="567"/>
        <w:jc w:val="both"/>
      </w:pPr>
    </w:p>
    <w:p w:rsidR="0023135F" w:rsidRPr="005D4E6D" w:rsidRDefault="00621B40" w:rsidP="005F7825">
      <w:pPr>
        <w:spacing w:after="0" w:line="240" w:lineRule="auto"/>
        <w:ind w:left="646"/>
        <w:jc w:val="both"/>
      </w:pPr>
      <w:r w:rsidRPr="005D4E6D">
        <w:t xml:space="preserve">Potwierdzeniem spełnienia ww. warunku będzie złożenie przez Wykonawcę Oświadczenia o braku powiązań stanowiącego </w:t>
      </w:r>
      <w:r w:rsidRPr="005D4E6D">
        <w:rPr>
          <w:rStyle w:val="Hyperlink1"/>
        </w:rPr>
        <w:t>załącznik nr 2</w:t>
      </w:r>
      <w:r w:rsidRPr="005D4E6D">
        <w:t xml:space="preserve"> do niniejszego </w:t>
      </w:r>
      <w:r w:rsidR="00B77B73" w:rsidRPr="00B77B73">
        <w:t>Szacowania wartości zamówienia</w:t>
      </w:r>
      <w:r w:rsidRPr="005D4E6D">
        <w:t>.</w:t>
      </w:r>
    </w:p>
    <w:p w:rsidR="0023135F" w:rsidRPr="005D4E6D" w:rsidRDefault="0023135F" w:rsidP="005F7825">
      <w:pPr>
        <w:pStyle w:val="Akapitzlist"/>
        <w:spacing w:after="0" w:line="240" w:lineRule="auto"/>
        <w:ind w:left="0"/>
        <w:jc w:val="both"/>
        <w:rPr>
          <w:b/>
          <w:bCs/>
        </w:rPr>
      </w:pPr>
    </w:p>
    <w:p w:rsidR="0023135F" w:rsidRPr="005D4E6D" w:rsidRDefault="00621B40" w:rsidP="00015314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 xml:space="preserve">Lista Dokumentów wymaganych od Wykonawcy </w:t>
      </w:r>
    </w:p>
    <w:p w:rsidR="0023135F" w:rsidRPr="005D4E6D" w:rsidRDefault="0023135F" w:rsidP="005F7825">
      <w:pPr>
        <w:spacing w:after="0" w:line="240" w:lineRule="auto"/>
        <w:jc w:val="both"/>
      </w:pPr>
    </w:p>
    <w:p w:rsidR="0023135F" w:rsidRPr="005D4E6D" w:rsidRDefault="00621B40" w:rsidP="005F7825">
      <w:pPr>
        <w:spacing w:after="0" w:line="240" w:lineRule="auto"/>
        <w:ind w:left="567"/>
        <w:jc w:val="both"/>
      </w:pPr>
      <w:r w:rsidRPr="005D4E6D">
        <w:t xml:space="preserve">Lista Dokumentów, które Wykonawca zobowiązany jest złożyć w odpowiedzi na </w:t>
      </w:r>
      <w:r w:rsidR="00B77B73">
        <w:t>Szacowanie</w:t>
      </w:r>
      <w:r w:rsidR="00B77B73" w:rsidRPr="00B77B73">
        <w:t xml:space="preserve"> wartości zamówienia</w:t>
      </w:r>
      <w:r w:rsidRPr="005D4E6D">
        <w:t>:</w:t>
      </w:r>
    </w:p>
    <w:p w:rsidR="0023135F" w:rsidRPr="005D4E6D" w:rsidRDefault="0023135F" w:rsidP="005F7825">
      <w:pPr>
        <w:spacing w:after="0" w:line="240" w:lineRule="auto"/>
        <w:jc w:val="both"/>
      </w:pPr>
    </w:p>
    <w:p w:rsidR="0023135F" w:rsidRPr="005D4E6D" w:rsidRDefault="00621B40" w:rsidP="00015314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5D4E6D">
        <w:t xml:space="preserve">Załącznik nr 1  do </w:t>
      </w:r>
      <w:r w:rsidR="00193BB8" w:rsidRPr="005D4E6D">
        <w:t xml:space="preserve">Szacowania wartości zamówienia </w:t>
      </w:r>
      <w:r w:rsidRPr="005D4E6D">
        <w:t xml:space="preserve">nr </w:t>
      </w:r>
      <w:r w:rsidR="00846C50">
        <w:rPr>
          <w:rStyle w:val="Hyperlink1"/>
        </w:rPr>
        <w:t>01/07/2018/Z004/BP/SZ</w:t>
      </w:r>
      <w:r w:rsidR="00567959" w:rsidRPr="005D4E6D">
        <w:rPr>
          <w:rStyle w:val="Hyperlink1"/>
        </w:rPr>
        <w:t xml:space="preserve"> </w:t>
      </w:r>
      <w:r w:rsidRPr="005D4E6D">
        <w:t xml:space="preserve">- </w:t>
      </w:r>
      <w:r w:rsidRPr="005D4E6D">
        <w:rPr>
          <w:rStyle w:val="Hyperlink1"/>
        </w:rPr>
        <w:t xml:space="preserve">Formularz </w:t>
      </w:r>
      <w:r w:rsidR="00654E63" w:rsidRPr="005D4E6D">
        <w:rPr>
          <w:rFonts w:cs="Times New Roman"/>
          <w:b/>
          <w:color w:val="auto"/>
          <w:bdr w:val="none" w:sz="0" w:space="0" w:color="auto"/>
        </w:rPr>
        <w:t>szacowania wartości zamówienia</w:t>
      </w:r>
      <w:r w:rsidRPr="005D4E6D">
        <w:t xml:space="preserve"> – wypełniony i podpisany przez Wykonawcę lub osobę/osoby upoważnione do reprezentacji Wykonawcy.</w:t>
      </w:r>
    </w:p>
    <w:p w:rsidR="0023135F" w:rsidRPr="005D4E6D" w:rsidRDefault="00621B40" w:rsidP="00015314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5D4E6D">
        <w:t xml:space="preserve">Załącznik nr 2 do </w:t>
      </w:r>
      <w:r w:rsidR="00DE1405" w:rsidRPr="005D4E6D">
        <w:t xml:space="preserve">Szacowania wartości zamówienia </w:t>
      </w:r>
      <w:r w:rsidRPr="005D4E6D">
        <w:t xml:space="preserve">nr </w:t>
      </w:r>
      <w:r w:rsidR="00846C50">
        <w:rPr>
          <w:rStyle w:val="Hyperlink1"/>
        </w:rPr>
        <w:t>01/07/2018/Z004/BP/SZ</w:t>
      </w:r>
      <w:r w:rsidR="00567959" w:rsidRPr="005D4E6D">
        <w:rPr>
          <w:rStyle w:val="Hyperlink1"/>
        </w:rPr>
        <w:t xml:space="preserve"> </w:t>
      </w:r>
      <w:r w:rsidRPr="005D4E6D">
        <w:t xml:space="preserve">– </w:t>
      </w:r>
      <w:r w:rsidRPr="005D4E6D">
        <w:rPr>
          <w:rStyle w:val="Hyperlink1"/>
        </w:rPr>
        <w:t xml:space="preserve">Oświadczenie o braku wzajemnych powiązań kapitałowych lub osobowych Wykonawcy i Zamawiającego </w:t>
      </w:r>
      <w:r w:rsidRPr="005D4E6D">
        <w:t>- wypełniony i podpisany przez Wykonawcę lub osobę/osoby upoważnione do reprezentacji Wykonawcy.</w:t>
      </w:r>
    </w:p>
    <w:p w:rsidR="0023135F" w:rsidRPr="005D4E6D" w:rsidRDefault="00621B40" w:rsidP="00015314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5D4E6D">
        <w:t>Dokumenty potwierdzające uprawnienia osób do podpisania oferty, jeżeli nie wynika to z dokumentów rejestrowych</w:t>
      </w:r>
      <w:r w:rsidR="00CB739F">
        <w:t>.</w:t>
      </w:r>
    </w:p>
    <w:p w:rsidR="0023135F" w:rsidRPr="005D4E6D" w:rsidRDefault="0023135F" w:rsidP="005F7825">
      <w:pPr>
        <w:spacing w:after="0" w:line="240" w:lineRule="auto"/>
        <w:ind w:left="720"/>
        <w:jc w:val="both"/>
      </w:pPr>
    </w:p>
    <w:p w:rsidR="0023135F" w:rsidRPr="005D4E6D" w:rsidRDefault="00621B40" w:rsidP="00015314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>Sposób przygotowania i składania ofert</w:t>
      </w:r>
    </w:p>
    <w:p w:rsidR="0023135F" w:rsidRPr="005D4E6D" w:rsidRDefault="0023135F" w:rsidP="005F7825">
      <w:pPr>
        <w:spacing w:after="0" w:line="240" w:lineRule="auto"/>
        <w:jc w:val="both"/>
        <w:rPr>
          <w:b/>
          <w:bCs/>
        </w:rPr>
      </w:pPr>
    </w:p>
    <w:p w:rsidR="00654E63" w:rsidRPr="005D4E6D" w:rsidRDefault="00654E63" w:rsidP="00654E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</w:rPr>
      </w:pPr>
      <w:r w:rsidRPr="005D4E6D">
        <w:rPr>
          <w:rFonts w:cs="Times New Roman"/>
          <w:color w:val="auto"/>
          <w:bdr w:val="none" w:sz="0" w:space="0" w:color="auto"/>
        </w:rPr>
        <w:t xml:space="preserve">Wykonawca może złożyć tylko jeden Formularz szacowania wartości zamówienia wypełniony w języku polskim w postaci dokumentów wskazanych w punkcie </w:t>
      </w:r>
      <w:r w:rsidR="0095323A" w:rsidRPr="005D4E6D">
        <w:rPr>
          <w:rFonts w:cs="Times New Roman"/>
          <w:color w:val="auto"/>
          <w:bdr w:val="none" w:sz="0" w:space="0" w:color="auto"/>
        </w:rPr>
        <w:t>7</w:t>
      </w:r>
      <w:r w:rsidRPr="005D4E6D">
        <w:rPr>
          <w:rFonts w:cs="Times New Roman"/>
          <w:color w:val="auto"/>
          <w:bdr w:val="none" w:sz="0" w:space="0" w:color="auto"/>
        </w:rPr>
        <w:t>. Szacowania wartości zamówienia.</w:t>
      </w:r>
    </w:p>
    <w:p w:rsidR="00654E63" w:rsidRPr="005D4E6D" w:rsidRDefault="00654E63" w:rsidP="00654E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b/>
          <w:color w:val="auto"/>
          <w:bdr w:val="none" w:sz="0" w:space="0" w:color="auto"/>
        </w:rPr>
      </w:pPr>
    </w:p>
    <w:p w:rsidR="00654E63" w:rsidRPr="005D4E6D" w:rsidRDefault="00654E63" w:rsidP="00654E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</w:rPr>
      </w:pPr>
      <w:r w:rsidRPr="005D4E6D">
        <w:rPr>
          <w:rFonts w:cs="Times New Roman"/>
          <w:color w:val="auto"/>
          <w:bdr w:val="none" w:sz="0" w:space="0" w:color="auto"/>
        </w:rPr>
        <w:t xml:space="preserve">Dokumenty wskazane w punkcie </w:t>
      </w:r>
      <w:r w:rsidR="00CB739F">
        <w:rPr>
          <w:rFonts w:cs="Times New Roman"/>
          <w:color w:val="auto"/>
          <w:bdr w:val="none" w:sz="0" w:space="0" w:color="auto"/>
        </w:rPr>
        <w:t>7</w:t>
      </w:r>
      <w:r w:rsidRPr="005D4E6D">
        <w:rPr>
          <w:rFonts w:cs="Times New Roman"/>
          <w:color w:val="auto"/>
          <w:bdr w:val="none" w:sz="0" w:space="0" w:color="auto"/>
        </w:rPr>
        <w:t>. Szacowania wartości zamówienia (Formularz szacowania wartości zamówienia wraz z załącznikami) należy wysłać mailem na adres:</w:t>
      </w:r>
    </w:p>
    <w:p w:rsidR="00654E63" w:rsidRPr="005D4E6D" w:rsidRDefault="00F27615" w:rsidP="00654E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</w:rPr>
      </w:pPr>
      <w:r>
        <w:rPr>
          <w:rFonts w:cs="Times New Roman"/>
          <w:color w:val="0563C1"/>
          <w:u w:val="single"/>
          <w:bdr w:val="none" w:sz="0" w:space="0" w:color="auto"/>
        </w:rPr>
        <w:t>b</w:t>
      </w:r>
      <w:r w:rsidR="00846C50">
        <w:rPr>
          <w:rFonts w:cs="Times New Roman"/>
          <w:color w:val="0563C1"/>
          <w:u w:val="single"/>
          <w:bdr w:val="none" w:sz="0" w:space="0" w:color="auto"/>
        </w:rPr>
        <w:t>artlomiej.piskor</w:t>
      </w:r>
      <w:r w:rsidR="00654E63" w:rsidRPr="005D4E6D">
        <w:rPr>
          <w:rFonts w:cs="Times New Roman"/>
          <w:color w:val="0563C1"/>
          <w:u w:val="single"/>
          <w:bdr w:val="none" w:sz="0" w:space="0" w:color="auto"/>
        </w:rPr>
        <w:t>@wsb.wroclaw.pl</w:t>
      </w:r>
      <w:r w:rsidR="00654E63" w:rsidRPr="005D4E6D">
        <w:rPr>
          <w:rFonts w:cs="Times New Roman"/>
          <w:color w:val="auto"/>
          <w:bdr w:val="none" w:sz="0" w:space="0" w:color="auto"/>
        </w:rPr>
        <w:t xml:space="preserve"> do dnia </w:t>
      </w:r>
      <w:r>
        <w:rPr>
          <w:rFonts w:cs="Times New Roman"/>
          <w:b/>
          <w:color w:val="000000" w:themeColor="text1"/>
          <w:bdr w:val="none" w:sz="0" w:space="0" w:color="auto"/>
        </w:rPr>
        <w:t>1</w:t>
      </w:r>
      <w:r w:rsidR="00791D39" w:rsidRPr="005D4E6D">
        <w:rPr>
          <w:rFonts w:cs="Times New Roman"/>
          <w:b/>
          <w:color w:val="auto"/>
          <w:bdr w:val="none" w:sz="0" w:space="0" w:color="auto"/>
        </w:rPr>
        <w:t>0</w:t>
      </w:r>
      <w:r w:rsidR="00654E63" w:rsidRPr="005D4E6D">
        <w:rPr>
          <w:rFonts w:cs="Times New Roman"/>
          <w:b/>
          <w:color w:val="auto"/>
          <w:bdr w:val="none" w:sz="0" w:space="0" w:color="auto"/>
        </w:rPr>
        <w:t>.0</w:t>
      </w:r>
      <w:r w:rsidR="00791D39" w:rsidRPr="005D4E6D">
        <w:rPr>
          <w:rFonts w:cs="Times New Roman"/>
          <w:b/>
          <w:color w:val="auto"/>
          <w:bdr w:val="none" w:sz="0" w:space="0" w:color="auto"/>
        </w:rPr>
        <w:t>7</w:t>
      </w:r>
      <w:r w:rsidR="007431E9">
        <w:rPr>
          <w:rFonts w:cs="Times New Roman"/>
          <w:b/>
          <w:color w:val="auto"/>
          <w:bdr w:val="none" w:sz="0" w:space="0" w:color="auto"/>
        </w:rPr>
        <w:t xml:space="preserve">.2018 roku do godziny </w:t>
      </w:r>
      <w:r>
        <w:rPr>
          <w:rFonts w:cs="Times New Roman"/>
          <w:b/>
          <w:color w:val="auto"/>
          <w:bdr w:val="none" w:sz="0" w:space="0" w:color="auto"/>
        </w:rPr>
        <w:t>10</w:t>
      </w:r>
      <w:r w:rsidR="00654E63" w:rsidRPr="005D4E6D">
        <w:rPr>
          <w:rFonts w:cs="Times New Roman"/>
          <w:b/>
          <w:color w:val="auto"/>
          <w:bdr w:val="none" w:sz="0" w:space="0" w:color="auto"/>
        </w:rPr>
        <w:t>:00</w:t>
      </w:r>
      <w:r w:rsidR="00654E63" w:rsidRPr="005D4E6D">
        <w:rPr>
          <w:rFonts w:cs="Times New Roman"/>
          <w:color w:val="auto"/>
          <w:bdr w:val="none" w:sz="0" w:space="0" w:color="auto"/>
        </w:rPr>
        <w:t>.</w:t>
      </w:r>
    </w:p>
    <w:p w:rsidR="00654E63" w:rsidRPr="005D4E6D" w:rsidRDefault="00654E63" w:rsidP="00654E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</w:rPr>
      </w:pPr>
      <w:r w:rsidRPr="005D4E6D">
        <w:rPr>
          <w:rFonts w:cs="Times New Roman"/>
          <w:color w:val="auto"/>
          <w:bdr w:val="none" w:sz="0" w:space="0" w:color="auto"/>
        </w:rPr>
        <w:lastRenderedPageBreak/>
        <w:t>PROSI SIĘ O WYSYŁANIE WIADOMOŚCI O WIELKOŚCI MAKSYMALNIE 10MB. W PRZYPADKU PRZEKROCZENIA TEJ WIELKOŚCI NALEŻY WYSYŁAĆ WIADOMOŚCI W DWÓCH LUB W TRZECH E-MAILACH.</w:t>
      </w:r>
    </w:p>
    <w:p w:rsidR="00654E63" w:rsidRPr="005D4E6D" w:rsidRDefault="00654E63" w:rsidP="00654E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</w:rPr>
      </w:pPr>
    </w:p>
    <w:p w:rsidR="00654E63" w:rsidRPr="005D4E6D" w:rsidRDefault="00654E63" w:rsidP="00654E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</w:rPr>
      </w:pPr>
      <w:r w:rsidRPr="005D4E6D">
        <w:rPr>
          <w:rFonts w:cs="Times New Roman"/>
          <w:color w:val="auto"/>
          <w:bdr w:val="none" w:sz="0" w:space="0" w:color="auto"/>
        </w:rPr>
        <w:t>Wykonawca ponosi wszelkie koszty związane z przygotowaniem i złożeniem Formularza szacowania wartości zamówienia. Zamawiający nie przewiduje zwrotu kosztów udziału w postępowaniu. Formularz szacowania wartości zamówienia zatrzymuje Zamawiający.</w:t>
      </w:r>
    </w:p>
    <w:p w:rsidR="0023135F" w:rsidRPr="005D4E6D" w:rsidRDefault="0023135F" w:rsidP="005F7825">
      <w:pPr>
        <w:pStyle w:val="Akapitzlist"/>
        <w:spacing w:after="0" w:line="240" w:lineRule="auto"/>
        <w:ind w:left="0"/>
        <w:jc w:val="both"/>
        <w:rPr>
          <w:b/>
          <w:bCs/>
        </w:rPr>
      </w:pPr>
    </w:p>
    <w:p w:rsidR="0023135F" w:rsidRPr="005D4E6D" w:rsidRDefault="00621B40" w:rsidP="00A34F37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 xml:space="preserve">Załączniki do </w:t>
      </w:r>
      <w:r w:rsidR="00A34F37" w:rsidRPr="00A34F37">
        <w:rPr>
          <w:b/>
          <w:bCs/>
        </w:rPr>
        <w:t>Szacowania wartości zamówienia</w:t>
      </w:r>
      <w:r w:rsidR="00A34F37">
        <w:rPr>
          <w:b/>
          <w:bCs/>
        </w:rPr>
        <w:t>:</w:t>
      </w:r>
    </w:p>
    <w:p w:rsidR="0023135F" w:rsidRPr="005D4E6D" w:rsidRDefault="0023135F" w:rsidP="005F7825">
      <w:pPr>
        <w:pStyle w:val="Akapitzlist"/>
        <w:spacing w:after="0" w:line="240" w:lineRule="auto"/>
        <w:jc w:val="both"/>
        <w:rPr>
          <w:b/>
          <w:bCs/>
        </w:rPr>
      </w:pPr>
    </w:p>
    <w:p w:rsidR="00654E63" w:rsidRPr="005D4E6D" w:rsidRDefault="00654E63" w:rsidP="0001531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0" w:lineRule="atLeast"/>
        <w:ind w:left="709" w:hanging="141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5D4E6D">
        <w:rPr>
          <w:rFonts w:eastAsia="Times New Roman" w:cs="Times New Roman"/>
          <w:color w:val="auto"/>
          <w:bdr w:val="none" w:sz="0" w:space="0" w:color="auto"/>
        </w:rPr>
        <w:t xml:space="preserve">Załącznik nr 1 do Szacowania wartości zamówienia nr </w:t>
      </w:r>
      <w:r w:rsidR="00846C50">
        <w:rPr>
          <w:rFonts w:eastAsia="Times New Roman" w:cs="Times New Roman"/>
          <w:b/>
          <w:color w:val="auto"/>
          <w:bdr w:val="none" w:sz="0" w:space="0" w:color="auto"/>
        </w:rPr>
        <w:t>01/07/2018/Z004/BP/SZ</w:t>
      </w:r>
      <w:r w:rsidR="00567959" w:rsidRPr="005D4E6D">
        <w:rPr>
          <w:rFonts w:eastAsia="Times New Roman" w:cs="Times New Roman"/>
          <w:color w:val="auto"/>
          <w:bdr w:val="none" w:sz="0" w:space="0" w:color="auto"/>
        </w:rPr>
        <w:t xml:space="preserve"> </w:t>
      </w:r>
      <w:r w:rsidRPr="005D4E6D">
        <w:rPr>
          <w:rFonts w:eastAsia="Times New Roman" w:cs="Times New Roman"/>
          <w:color w:val="auto"/>
          <w:bdr w:val="none" w:sz="0" w:space="0" w:color="auto"/>
        </w:rPr>
        <w:t>- </w:t>
      </w:r>
      <w:r w:rsidRPr="005D4E6D">
        <w:rPr>
          <w:rFonts w:eastAsia="Times New Roman" w:cs="Times New Roman"/>
          <w:b/>
          <w:color w:val="auto"/>
          <w:bdr w:val="none" w:sz="0" w:space="0" w:color="auto" w:frame="1"/>
        </w:rPr>
        <w:t>Formularz szacowania wartości zamówienia</w:t>
      </w:r>
      <w:r w:rsidRPr="005D4E6D">
        <w:rPr>
          <w:rFonts w:eastAsia="Times New Roman" w:cs="Times New Roman"/>
          <w:color w:val="auto"/>
          <w:bdr w:val="none" w:sz="0" w:space="0" w:color="auto" w:frame="1"/>
        </w:rPr>
        <w:t>.</w:t>
      </w:r>
    </w:p>
    <w:p w:rsidR="00654E63" w:rsidRPr="005D4E6D" w:rsidRDefault="00654E63" w:rsidP="0001531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0" w:lineRule="atLeast"/>
        <w:ind w:left="709" w:hanging="141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5D4E6D">
        <w:rPr>
          <w:rFonts w:eastAsia="Times New Roman" w:cs="Times New Roman"/>
          <w:color w:val="auto"/>
          <w:bdr w:val="none" w:sz="0" w:space="0" w:color="auto"/>
        </w:rPr>
        <w:t xml:space="preserve">Załącznik nr 2 do Szacowania wartości zamówienia nr </w:t>
      </w:r>
      <w:r w:rsidR="00846C50">
        <w:rPr>
          <w:rFonts w:eastAsia="Times New Roman" w:cs="Times New Roman"/>
          <w:b/>
          <w:color w:val="auto"/>
          <w:bdr w:val="none" w:sz="0" w:space="0" w:color="auto"/>
        </w:rPr>
        <w:t>01/07/2018/Z004/BP/SZ</w:t>
      </w:r>
      <w:r w:rsidR="00567959" w:rsidRPr="005D4E6D">
        <w:rPr>
          <w:rFonts w:eastAsia="Times New Roman" w:cs="Times New Roman"/>
          <w:color w:val="auto"/>
          <w:bdr w:val="none" w:sz="0" w:space="0" w:color="auto"/>
        </w:rPr>
        <w:t xml:space="preserve"> </w:t>
      </w:r>
      <w:r w:rsidR="005D645A" w:rsidRPr="005D4E6D">
        <w:rPr>
          <w:rFonts w:eastAsia="Times New Roman" w:cs="Times New Roman"/>
          <w:color w:val="auto"/>
          <w:bdr w:val="none" w:sz="0" w:space="0" w:color="auto"/>
        </w:rPr>
        <w:t>-</w:t>
      </w:r>
      <w:hyperlink r:id="rId7" w:history="1">
        <w:r w:rsidRPr="005D4E6D">
          <w:rPr>
            <w:rFonts w:eastAsia="Times New Roman" w:cs="Times New Roman"/>
            <w:b/>
            <w:color w:val="auto"/>
            <w:bdr w:val="none" w:sz="0" w:space="0" w:color="auto" w:frame="1"/>
          </w:rPr>
          <w:t>Oświadczenie o braku wzajemnych powiązań kapitałowych lub osobowych Wykonawcy i Zamawiającego.</w:t>
        </w:r>
      </w:hyperlink>
    </w:p>
    <w:p w:rsidR="0023135F" w:rsidRPr="005D4E6D" w:rsidRDefault="0023135F" w:rsidP="005F7825">
      <w:pPr>
        <w:spacing w:after="0" w:line="240" w:lineRule="auto"/>
        <w:jc w:val="both"/>
      </w:pPr>
    </w:p>
    <w:sectPr w:rsidR="0023135F" w:rsidRPr="005D4E6D">
      <w:headerReference w:type="default" r:id="rId8"/>
      <w:footerReference w:type="default" r:id="rId9"/>
      <w:pgSz w:w="11900" w:h="16840"/>
      <w:pgMar w:top="170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023" w:rsidRDefault="00621B40">
      <w:pPr>
        <w:spacing w:after="0" w:line="240" w:lineRule="auto"/>
      </w:pPr>
      <w:r>
        <w:separator/>
      </w:r>
    </w:p>
  </w:endnote>
  <w:endnote w:type="continuationSeparator" w:id="0">
    <w:p w:rsidR="004A0023" w:rsidRDefault="0062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35F" w:rsidRDefault="00621B40">
    <w:pPr>
      <w:pStyle w:val="Stopka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90AA8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023" w:rsidRDefault="00621B40">
      <w:pPr>
        <w:spacing w:after="0" w:line="240" w:lineRule="auto"/>
      </w:pPr>
      <w:r>
        <w:separator/>
      </w:r>
    </w:p>
  </w:footnote>
  <w:footnote w:type="continuationSeparator" w:id="0">
    <w:p w:rsidR="004A0023" w:rsidRDefault="0062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35F" w:rsidRDefault="00621B40">
    <w:pPr>
      <w:pStyle w:val="Nagwek"/>
      <w:tabs>
        <w:tab w:val="clear" w:pos="9072"/>
        <w:tab w:val="right" w:pos="9044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472439</wp:posOffset>
          </wp:positionH>
          <wp:positionV relativeFrom="page">
            <wp:posOffset>528955</wp:posOffset>
          </wp:positionV>
          <wp:extent cx="6802120" cy="619125"/>
          <wp:effectExtent l="0" t="0" r="0" b="0"/>
          <wp:wrapNone/>
          <wp:docPr id="1073741825" name="officeArt object" descr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6" descr="Obraz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2120" cy="61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66D7"/>
    <w:multiLevelType w:val="hybridMultilevel"/>
    <w:tmpl w:val="408A50F0"/>
    <w:styleLink w:val="Zaimportowanystyl4"/>
    <w:lvl w:ilvl="0" w:tplc="730E59F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A2FA0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F64D8C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0147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881D3C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74CE6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B2DBBA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CE235C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C0A7BC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F20D7A"/>
    <w:multiLevelType w:val="hybridMultilevel"/>
    <w:tmpl w:val="408A50F0"/>
    <w:numStyleLink w:val="Zaimportowanystyl4"/>
  </w:abstractNum>
  <w:abstractNum w:abstractNumId="2" w15:restartNumberingAfterBreak="0">
    <w:nsid w:val="0A8C5E28"/>
    <w:multiLevelType w:val="hybridMultilevel"/>
    <w:tmpl w:val="F69EA790"/>
    <w:styleLink w:val="Zaimportowanystyl14"/>
    <w:lvl w:ilvl="0" w:tplc="F0082524">
      <w:start w:val="1"/>
      <w:numFmt w:val="bullet"/>
      <w:lvlText w:val="·"/>
      <w:lvlJc w:val="left"/>
      <w:pPr>
        <w:tabs>
          <w:tab w:val="left" w:pos="2160"/>
        </w:tabs>
        <w:ind w:left="709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C62F50">
      <w:start w:val="1"/>
      <w:numFmt w:val="bullet"/>
      <w:lvlText w:val="o"/>
      <w:lvlJc w:val="left"/>
      <w:pPr>
        <w:tabs>
          <w:tab w:val="left" w:pos="2160"/>
        </w:tabs>
        <w:ind w:left="1429" w:hanging="1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566774">
      <w:start w:val="1"/>
      <w:numFmt w:val="bullet"/>
      <w:lvlText w:val="▪"/>
      <w:lvlJc w:val="left"/>
      <w:pPr>
        <w:tabs>
          <w:tab w:val="left" w:pos="2160"/>
        </w:tabs>
        <w:ind w:left="214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C88BE6">
      <w:start w:val="1"/>
      <w:numFmt w:val="bullet"/>
      <w:lvlText w:val="▪"/>
      <w:lvlJc w:val="left"/>
      <w:pPr>
        <w:ind w:left="286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CA108C">
      <w:start w:val="1"/>
      <w:numFmt w:val="bullet"/>
      <w:lvlText w:val="▪"/>
      <w:lvlJc w:val="left"/>
      <w:pPr>
        <w:ind w:left="358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CCC5B4">
      <w:start w:val="1"/>
      <w:numFmt w:val="bullet"/>
      <w:lvlText w:val="▪"/>
      <w:lvlJc w:val="left"/>
      <w:pPr>
        <w:tabs>
          <w:tab w:val="left" w:pos="2160"/>
        </w:tabs>
        <w:ind w:left="430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3400F6">
      <w:start w:val="1"/>
      <w:numFmt w:val="bullet"/>
      <w:lvlText w:val="▪"/>
      <w:lvlJc w:val="left"/>
      <w:pPr>
        <w:tabs>
          <w:tab w:val="left" w:pos="2160"/>
        </w:tabs>
        <w:ind w:left="502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EACD9A">
      <w:start w:val="1"/>
      <w:numFmt w:val="bullet"/>
      <w:lvlText w:val="▪"/>
      <w:lvlJc w:val="left"/>
      <w:pPr>
        <w:tabs>
          <w:tab w:val="left" w:pos="2160"/>
        </w:tabs>
        <w:ind w:left="574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12EBC4">
      <w:start w:val="1"/>
      <w:numFmt w:val="bullet"/>
      <w:lvlText w:val="▪"/>
      <w:lvlJc w:val="left"/>
      <w:pPr>
        <w:tabs>
          <w:tab w:val="left" w:pos="2160"/>
        </w:tabs>
        <w:ind w:left="646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22721C6"/>
    <w:multiLevelType w:val="hybridMultilevel"/>
    <w:tmpl w:val="B798EF62"/>
    <w:styleLink w:val="Zaimportowanystyl3"/>
    <w:lvl w:ilvl="0" w:tplc="2EEC6946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C9D2A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5ADF02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C0905C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BCA218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8A2232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386AA0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FC592E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606A38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62E2205"/>
    <w:multiLevelType w:val="hybridMultilevel"/>
    <w:tmpl w:val="9B849398"/>
    <w:numStyleLink w:val="Zaimportowanystyl6"/>
  </w:abstractNum>
  <w:abstractNum w:abstractNumId="5" w15:restartNumberingAfterBreak="0">
    <w:nsid w:val="1B7768D9"/>
    <w:multiLevelType w:val="multilevel"/>
    <w:tmpl w:val="148EF19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3078A"/>
    <w:multiLevelType w:val="multilevel"/>
    <w:tmpl w:val="5964AD1A"/>
    <w:styleLink w:val="Zaimportowanystyl1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1.%2.%3."/>
      <w:lvlJc w:val="left"/>
      <w:pPr>
        <w:ind w:left="1003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03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363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363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723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05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0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3E662AB"/>
    <w:multiLevelType w:val="hybridMultilevel"/>
    <w:tmpl w:val="E1A2AADA"/>
    <w:numStyleLink w:val="Zaimportowanystyl7"/>
  </w:abstractNum>
  <w:abstractNum w:abstractNumId="8" w15:restartNumberingAfterBreak="0">
    <w:nsid w:val="253C348A"/>
    <w:multiLevelType w:val="hybridMultilevel"/>
    <w:tmpl w:val="8D988774"/>
    <w:styleLink w:val="Zaimportowanystyl8"/>
    <w:lvl w:ilvl="0" w:tplc="F4AAA5E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5A8BFE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FC0BF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DCCF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FCB3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C0355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A866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BAA7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B8038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7923D35"/>
    <w:multiLevelType w:val="hybridMultilevel"/>
    <w:tmpl w:val="990E25F8"/>
    <w:styleLink w:val="Zaimportowanystyl13"/>
    <w:lvl w:ilvl="0" w:tplc="24E24C9E">
      <w:start w:val="1"/>
      <w:numFmt w:val="lowerLetter"/>
      <w:lvlText w:val="%1)"/>
      <w:lvlJc w:val="left"/>
      <w:pPr>
        <w:ind w:left="99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CE6496">
      <w:start w:val="1"/>
      <w:numFmt w:val="lowerLetter"/>
      <w:suff w:val="nothing"/>
      <w:lvlText w:val="%2)"/>
      <w:lvlJc w:val="left"/>
      <w:pPr>
        <w:ind w:left="1463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B2D206">
      <w:start w:val="1"/>
      <w:numFmt w:val="decimal"/>
      <w:lvlText w:val="%3."/>
      <w:lvlJc w:val="left"/>
      <w:pPr>
        <w:ind w:left="243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C2308C">
      <w:start w:val="1"/>
      <w:numFmt w:val="decimal"/>
      <w:lvlText w:val="%4."/>
      <w:lvlJc w:val="left"/>
      <w:pPr>
        <w:ind w:left="315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D0B3E8">
      <w:start w:val="1"/>
      <w:numFmt w:val="decimal"/>
      <w:lvlText w:val="%5."/>
      <w:lvlJc w:val="left"/>
      <w:pPr>
        <w:ind w:left="387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6AAC40">
      <w:start w:val="1"/>
      <w:numFmt w:val="decimal"/>
      <w:lvlText w:val="%6."/>
      <w:lvlJc w:val="left"/>
      <w:pPr>
        <w:ind w:left="459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0801F6">
      <w:start w:val="1"/>
      <w:numFmt w:val="decimal"/>
      <w:lvlText w:val="%7."/>
      <w:lvlJc w:val="left"/>
      <w:pPr>
        <w:ind w:left="531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3A0DFA">
      <w:start w:val="1"/>
      <w:numFmt w:val="decimal"/>
      <w:lvlText w:val="%8."/>
      <w:lvlJc w:val="left"/>
      <w:pPr>
        <w:ind w:left="603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0CFDA6">
      <w:start w:val="1"/>
      <w:numFmt w:val="decimal"/>
      <w:lvlText w:val="%9."/>
      <w:lvlJc w:val="left"/>
      <w:pPr>
        <w:ind w:left="675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C5B4878"/>
    <w:multiLevelType w:val="hybridMultilevel"/>
    <w:tmpl w:val="E1A2AADA"/>
    <w:styleLink w:val="Zaimportowanystyl7"/>
    <w:lvl w:ilvl="0" w:tplc="0DE0A57E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EC9A1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EE059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4CEFD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E408D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20501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DE8EF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14673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4C721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F9D5D75"/>
    <w:multiLevelType w:val="hybridMultilevel"/>
    <w:tmpl w:val="390001AA"/>
    <w:styleLink w:val="Zaimportowanystyl50"/>
    <w:lvl w:ilvl="0" w:tplc="4F1EC3E2">
      <w:start w:val="1"/>
      <w:numFmt w:val="bullet"/>
      <w:lvlText w:val="·"/>
      <w:lvlJc w:val="left"/>
      <w:pPr>
        <w:ind w:left="179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CE578E">
      <w:start w:val="1"/>
      <w:numFmt w:val="bullet"/>
      <w:lvlText w:val="·"/>
      <w:lvlJc w:val="left"/>
      <w:pPr>
        <w:ind w:left="10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24766E">
      <w:start w:val="1"/>
      <w:numFmt w:val="bullet"/>
      <w:lvlText w:val="·"/>
      <w:lvlJc w:val="left"/>
      <w:pPr>
        <w:ind w:left="179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44E0CE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84FF6A">
      <w:start w:val="1"/>
      <w:numFmt w:val="bullet"/>
      <w:lvlText w:val="·"/>
      <w:lvlJc w:val="left"/>
      <w:pPr>
        <w:ind w:left="323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DAAF1A">
      <w:start w:val="1"/>
      <w:numFmt w:val="bullet"/>
      <w:lvlText w:val="·"/>
      <w:lvlJc w:val="left"/>
      <w:pPr>
        <w:ind w:left="39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F2E002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821448">
      <w:start w:val="1"/>
      <w:numFmt w:val="bullet"/>
      <w:lvlText w:val="·"/>
      <w:lvlJc w:val="left"/>
      <w:pPr>
        <w:ind w:left="539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A2DD90">
      <w:start w:val="1"/>
      <w:numFmt w:val="bullet"/>
      <w:lvlText w:val="·"/>
      <w:lvlJc w:val="left"/>
      <w:pPr>
        <w:ind w:left="61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11709EC"/>
    <w:multiLevelType w:val="multilevel"/>
    <w:tmpl w:val="5964AD1A"/>
    <w:numStyleLink w:val="Zaimportowanystyl1"/>
  </w:abstractNum>
  <w:abstractNum w:abstractNumId="13" w15:restartNumberingAfterBreak="0">
    <w:nsid w:val="34112B50"/>
    <w:multiLevelType w:val="hybridMultilevel"/>
    <w:tmpl w:val="9C54EBB2"/>
    <w:styleLink w:val="Zaimportowanystyl60"/>
    <w:lvl w:ilvl="0" w:tplc="CBE6E6F8">
      <w:start w:val="1"/>
      <w:numFmt w:val="bullet"/>
      <w:lvlText w:val="·"/>
      <w:lvlJc w:val="left"/>
      <w:pPr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8436A">
      <w:start w:val="1"/>
      <w:numFmt w:val="bullet"/>
      <w:lvlText w:val="o"/>
      <w:lvlJc w:val="left"/>
      <w:pPr>
        <w:ind w:left="2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98FC4A">
      <w:start w:val="1"/>
      <w:numFmt w:val="bullet"/>
      <w:lvlText w:val="▪"/>
      <w:lvlJc w:val="left"/>
      <w:pPr>
        <w:ind w:left="3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0A7B6E">
      <w:start w:val="1"/>
      <w:numFmt w:val="bullet"/>
      <w:lvlText w:val="·"/>
      <w:lvlJc w:val="left"/>
      <w:pPr>
        <w:ind w:left="3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8EB432">
      <w:start w:val="1"/>
      <w:numFmt w:val="bullet"/>
      <w:lvlText w:val="o"/>
      <w:lvlJc w:val="left"/>
      <w:pPr>
        <w:ind w:left="4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A66414">
      <w:start w:val="1"/>
      <w:numFmt w:val="bullet"/>
      <w:lvlText w:val="▪"/>
      <w:lvlJc w:val="left"/>
      <w:pPr>
        <w:ind w:left="5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C6114C">
      <w:start w:val="1"/>
      <w:numFmt w:val="bullet"/>
      <w:lvlText w:val="·"/>
      <w:lvlJc w:val="left"/>
      <w:pPr>
        <w:ind w:left="6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506898">
      <w:start w:val="1"/>
      <w:numFmt w:val="bullet"/>
      <w:lvlText w:val="o"/>
      <w:lvlJc w:val="left"/>
      <w:pPr>
        <w:ind w:left="6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945584">
      <w:start w:val="1"/>
      <w:numFmt w:val="bullet"/>
      <w:lvlText w:val="▪"/>
      <w:lvlJc w:val="left"/>
      <w:pPr>
        <w:ind w:left="7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E9206A6"/>
    <w:multiLevelType w:val="hybridMultilevel"/>
    <w:tmpl w:val="85CA3B7A"/>
    <w:styleLink w:val="Zaimportowanystyl70"/>
    <w:lvl w:ilvl="0" w:tplc="0EB0DDD2">
      <w:start w:val="1"/>
      <w:numFmt w:val="bullet"/>
      <w:lvlText w:val="·"/>
      <w:lvlJc w:val="left"/>
      <w:pPr>
        <w:ind w:left="142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C48582">
      <w:start w:val="1"/>
      <w:numFmt w:val="bullet"/>
      <w:lvlText w:val="o"/>
      <w:lvlJc w:val="left"/>
      <w:pPr>
        <w:ind w:left="214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DAB58A">
      <w:start w:val="1"/>
      <w:numFmt w:val="bullet"/>
      <w:lvlText w:val="▪"/>
      <w:lvlJc w:val="left"/>
      <w:pPr>
        <w:ind w:left="286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987148">
      <w:start w:val="1"/>
      <w:numFmt w:val="bullet"/>
      <w:lvlText w:val="·"/>
      <w:lvlJc w:val="left"/>
      <w:pPr>
        <w:ind w:left="358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28A6AC">
      <w:start w:val="1"/>
      <w:numFmt w:val="bullet"/>
      <w:lvlText w:val="o"/>
      <w:lvlJc w:val="left"/>
      <w:pPr>
        <w:ind w:left="430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8278F6">
      <w:start w:val="1"/>
      <w:numFmt w:val="bullet"/>
      <w:lvlText w:val="▪"/>
      <w:lvlJc w:val="left"/>
      <w:pPr>
        <w:ind w:left="502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38C806">
      <w:start w:val="1"/>
      <w:numFmt w:val="bullet"/>
      <w:lvlText w:val="·"/>
      <w:lvlJc w:val="left"/>
      <w:pPr>
        <w:ind w:left="574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40BA06">
      <w:start w:val="1"/>
      <w:numFmt w:val="bullet"/>
      <w:lvlText w:val="o"/>
      <w:lvlJc w:val="left"/>
      <w:pPr>
        <w:ind w:left="646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82A802">
      <w:start w:val="1"/>
      <w:numFmt w:val="bullet"/>
      <w:lvlText w:val="▪"/>
      <w:lvlJc w:val="left"/>
      <w:pPr>
        <w:ind w:left="718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06628EE"/>
    <w:multiLevelType w:val="multilevel"/>
    <w:tmpl w:val="1010A992"/>
    <w:styleLink w:val="Zaimportowanystyl5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399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475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475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475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F4936A9"/>
    <w:multiLevelType w:val="multilevel"/>
    <w:tmpl w:val="41BE769E"/>
    <w:styleLink w:val="WWNum41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17" w15:restartNumberingAfterBreak="0">
    <w:nsid w:val="61B70671"/>
    <w:multiLevelType w:val="hybridMultilevel"/>
    <w:tmpl w:val="9B849398"/>
    <w:styleLink w:val="Zaimportowanystyl6"/>
    <w:lvl w:ilvl="0" w:tplc="9C8C30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4A6A1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5E53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B6A2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B4B4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A2D3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362D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600A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7E98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409752B"/>
    <w:multiLevelType w:val="hybridMultilevel"/>
    <w:tmpl w:val="687A9AD6"/>
    <w:styleLink w:val="Zaimportowanystyl12"/>
    <w:lvl w:ilvl="0" w:tplc="AA086174">
      <w:start w:val="1"/>
      <w:numFmt w:val="bullet"/>
      <w:lvlText w:val="·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80F31A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4C2F2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F833F0">
      <w:start w:val="1"/>
      <w:numFmt w:val="bullet"/>
      <w:lvlText w:val="·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8EBCE6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AA1EC0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5C5748">
      <w:start w:val="1"/>
      <w:numFmt w:val="bullet"/>
      <w:lvlText w:val="·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E87BFC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26A808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BD97489"/>
    <w:multiLevelType w:val="multilevel"/>
    <w:tmpl w:val="EC680706"/>
    <w:styleLink w:val="Zaimportowanystyl4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12"/>
  </w:num>
  <w:num w:numId="3">
    <w:abstractNumId w:val="12"/>
    <w:lvlOverride w:ilvl="1">
      <w:startOverride w:val="3"/>
    </w:lvlOverride>
  </w:num>
  <w:num w:numId="4">
    <w:abstractNumId w:val="0"/>
  </w:num>
  <w:num w:numId="5">
    <w:abstractNumId w:val="1"/>
  </w:num>
  <w:num w:numId="6">
    <w:abstractNumId w:val="12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4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1.%2.%3."/>
        <w:lvlJc w:val="left"/>
        <w:pPr>
          <w:ind w:left="1080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3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3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7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7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0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5"/>
  </w:num>
  <w:num w:numId="8">
    <w:abstractNumId w:val="17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  <w:num w:numId="13">
    <w:abstractNumId w:val="3"/>
  </w:num>
  <w:num w:numId="14">
    <w:abstractNumId w:val="19"/>
  </w:num>
  <w:num w:numId="15">
    <w:abstractNumId w:val="11"/>
  </w:num>
  <w:num w:numId="16">
    <w:abstractNumId w:val="13"/>
  </w:num>
  <w:num w:numId="17">
    <w:abstractNumId w:val="14"/>
  </w:num>
  <w:num w:numId="18">
    <w:abstractNumId w:val="18"/>
  </w:num>
  <w:num w:numId="19">
    <w:abstractNumId w:val="9"/>
  </w:num>
  <w:num w:numId="20">
    <w:abstractNumId w:val="2"/>
  </w:num>
  <w:num w:numId="21">
    <w:abstractNumId w:val="5"/>
  </w:num>
  <w:num w:numId="22">
    <w:abstractNumId w:val="12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Letter"/>
        <w:lvlText w:val="%1.%2.%3."/>
        <w:lvlJc w:val="left"/>
        <w:pPr>
          <w:ind w:left="1003" w:hanging="92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03" w:hanging="92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363" w:hanging="128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3" w:hanging="128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23" w:hanging="164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05" w:hanging="129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83" w:hanging="200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3">
    <w:abstractNumId w:val="16"/>
  </w:num>
  <w:num w:numId="24">
    <w:abstractNumId w:val="16"/>
    <w:lvlOverride w:ilvl="0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5F"/>
    <w:rsid w:val="00015314"/>
    <w:rsid w:val="00026427"/>
    <w:rsid w:val="0006150B"/>
    <w:rsid w:val="00066B0C"/>
    <w:rsid w:val="00081F42"/>
    <w:rsid w:val="001241AE"/>
    <w:rsid w:val="0017754E"/>
    <w:rsid w:val="00193BB8"/>
    <w:rsid w:val="001C07C8"/>
    <w:rsid w:val="001D3A3F"/>
    <w:rsid w:val="001D5C1C"/>
    <w:rsid w:val="0023135F"/>
    <w:rsid w:val="002325AF"/>
    <w:rsid w:val="002765F8"/>
    <w:rsid w:val="00286678"/>
    <w:rsid w:val="002A6CD2"/>
    <w:rsid w:val="002F3190"/>
    <w:rsid w:val="00311E75"/>
    <w:rsid w:val="00322A07"/>
    <w:rsid w:val="003541F1"/>
    <w:rsid w:val="00356475"/>
    <w:rsid w:val="003643B6"/>
    <w:rsid w:val="003D7635"/>
    <w:rsid w:val="00432B14"/>
    <w:rsid w:val="00444D9A"/>
    <w:rsid w:val="004462DD"/>
    <w:rsid w:val="0044775F"/>
    <w:rsid w:val="00467225"/>
    <w:rsid w:val="00496270"/>
    <w:rsid w:val="004A0023"/>
    <w:rsid w:val="00561287"/>
    <w:rsid w:val="00567959"/>
    <w:rsid w:val="005A496C"/>
    <w:rsid w:val="005D4E6D"/>
    <w:rsid w:val="005D645A"/>
    <w:rsid w:val="005E0799"/>
    <w:rsid w:val="005F7825"/>
    <w:rsid w:val="00621B40"/>
    <w:rsid w:val="00654E63"/>
    <w:rsid w:val="0068313E"/>
    <w:rsid w:val="006B73BF"/>
    <w:rsid w:val="00732026"/>
    <w:rsid w:val="007321D6"/>
    <w:rsid w:val="007431E9"/>
    <w:rsid w:val="007678CA"/>
    <w:rsid w:val="00791D39"/>
    <w:rsid w:val="007B5559"/>
    <w:rsid w:val="007C153A"/>
    <w:rsid w:val="007C642E"/>
    <w:rsid w:val="00843669"/>
    <w:rsid w:val="00846C50"/>
    <w:rsid w:val="008543F2"/>
    <w:rsid w:val="00871978"/>
    <w:rsid w:val="00890E42"/>
    <w:rsid w:val="008C2E93"/>
    <w:rsid w:val="008E3D91"/>
    <w:rsid w:val="009177CA"/>
    <w:rsid w:val="009418CB"/>
    <w:rsid w:val="0095323A"/>
    <w:rsid w:val="009542F6"/>
    <w:rsid w:val="00963D4D"/>
    <w:rsid w:val="00987DDA"/>
    <w:rsid w:val="009E7766"/>
    <w:rsid w:val="00A12987"/>
    <w:rsid w:val="00A31684"/>
    <w:rsid w:val="00A34F37"/>
    <w:rsid w:val="00A35A26"/>
    <w:rsid w:val="00A629C1"/>
    <w:rsid w:val="00AA5C6A"/>
    <w:rsid w:val="00AA5CFD"/>
    <w:rsid w:val="00AD5D23"/>
    <w:rsid w:val="00AE151D"/>
    <w:rsid w:val="00AF580B"/>
    <w:rsid w:val="00B24442"/>
    <w:rsid w:val="00B34534"/>
    <w:rsid w:val="00B64D1F"/>
    <w:rsid w:val="00B77B73"/>
    <w:rsid w:val="00BA29DD"/>
    <w:rsid w:val="00C55002"/>
    <w:rsid w:val="00C6539C"/>
    <w:rsid w:val="00C740DC"/>
    <w:rsid w:val="00CA303F"/>
    <w:rsid w:val="00CB739F"/>
    <w:rsid w:val="00CC5265"/>
    <w:rsid w:val="00CD3BAE"/>
    <w:rsid w:val="00D3444F"/>
    <w:rsid w:val="00D347AB"/>
    <w:rsid w:val="00D461A5"/>
    <w:rsid w:val="00D5569F"/>
    <w:rsid w:val="00D81321"/>
    <w:rsid w:val="00D90AA8"/>
    <w:rsid w:val="00D97CD0"/>
    <w:rsid w:val="00DE1405"/>
    <w:rsid w:val="00E72E16"/>
    <w:rsid w:val="00E93920"/>
    <w:rsid w:val="00EF7F5F"/>
    <w:rsid w:val="00F21344"/>
    <w:rsid w:val="00F27615"/>
    <w:rsid w:val="00F418B9"/>
    <w:rsid w:val="00F7214B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B61A9-EC69-4309-9170-C8B703C6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rPr>
      <w:rFonts w:ascii="Calibri" w:eastAsia="Calibri" w:hAnsi="Calibri" w:cs="Calibri"/>
      <w:b/>
      <w:bCs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  <w:pPr>
      <w:numPr>
        <w:numId w:val="12"/>
      </w:numPr>
    </w:pPr>
  </w:style>
  <w:style w:type="numbering" w:customStyle="1" w:styleId="Zaimportowanystyl3">
    <w:name w:val="Zaimportowany styl 3"/>
    <w:pPr>
      <w:numPr>
        <w:numId w:val="13"/>
      </w:numPr>
    </w:p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Calibri" w:eastAsia="Calibri" w:hAnsi="Calibri" w:cs="Calibri"/>
      <w:b/>
      <w:bCs/>
      <w:color w:val="0000FF"/>
      <w:u w:val="single" w:color="0000FF"/>
    </w:rPr>
  </w:style>
  <w:style w:type="numbering" w:customStyle="1" w:styleId="Zaimportowanystyl40">
    <w:name w:val="Zaimportowany styl 4.0"/>
    <w:pPr>
      <w:numPr>
        <w:numId w:val="14"/>
      </w:numPr>
    </w:pPr>
  </w:style>
  <w:style w:type="numbering" w:customStyle="1" w:styleId="Zaimportowanystyl50">
    <w:name w:val="Zaimportowany styl 5.0"/>
    <w:pPr>
      <w:numPr>
        <w:numId w:val="15"/>
      </w:numPr>
    </w:pPr>
  </w:style>
  <w:style w:type="numbering" w:customStyle="1" w:styleId="Zaimportowanystyl60">
    <w:name w:val="Zaimportowany styl 6.0"/>
    <w:pPr>
      <w:numPr>
        <w:numId w:val="16"/>
      </w:numPr>
    </w:pPr>
  </w:style>
  <w:style w:type="numbering" w:customStyle="1" w:styleId="Zaimportowanystyl70">
    <w:name w:val="Zaimportowany styl 7.0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18"/>
      </w:numPr>
    </w:pPr>
  </w:style>
  <w:style w:type="numbering" w:customStyle="1" w:styleId="Zaimportowanystyl13">
    <w:name w:val="Zaimportowany styl 13"/>
    <w:pPr>
      <w:numPr>
        <w:numId w:val="19"/>
      </w:numPr>
    </w:pPr>
  </w:style>
  <w:style w:type="character" w:customStyle="1" w:styleId="Hyperlink00">
    <w:name w:val="Hyperlink.0.0"/>
    <w:rPr>
      <w:color w:val="0000FF"/>
      <w:u w:val="single" w:color="0000FF"/>
    </w:rPr>
  </w:style>
  <w:style w:type="numbering" w:customStyle="1" w:styleId="Zaimportowanystyl14">
    <w:name w:val="Zaimportowany styl 14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16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C6539C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0153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bdr w:val="none" w:sz="0" w:space="0" w:color="auto"/>
      <w:lang w:eastAsia="en-US"/>
    </w:rPr>
  </w:style>
  <w:style w:type="numbering" w:customStyle="1" w:styleId="WWNum41">
    <w:name w:val="WWNum41"/>
    <w:basedOn w:val="Bezlisty"/>
    <w:rsid w:val="00015314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sb.pl/wroclaw/sites/wsb.pl.wroclaw/files/default_images/zalacznik_nr_2_-_oswiadczenie_o_braku_powiazan_do_szacowania_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4272</Words>
  <Characters>25637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WSB</dc:creator>
  <cp:lastModifiedBy>Biblioteka WSB</cp:lastModifiedBy>
  <cp:revision>9</cp:revision>
  <dcterms:created xsi:type="dcterms:W3CDTF">2018-07-04T07:35:00Z</dcterms:created>
  <dcterms:modified xsi:type="dcterms:W3CDTF">2018-07-04T13:47:00Z</dcterms:modified>
</cp:coreProperties>
</file>